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2F3" w:rsidRPr="001D4A56" w:rsidRDefault="000F12C7" w:rsidP="006D1C91">
      <w:pPr>
        <w:spacing w:before="0"/>
        <w:jc w:val="center"/>
        <w:rPr>
          <w:sz w:val="40"/>
          <w:szCs w:val="40"/>
        </w:rPr>
      </w:pPr>
      <w:r w:rsidRPr="001D4A56">
        <w:rPr>
          <w:sz w:val="40"/>
          <w:szCs w:val="40"/>
        </w:rPr>
        <w:t>Africa RISING program coordination team retreat and PCT8 meeting</w:t>
      </w:r>
    </w:p>
    <w:p w:rsidR="000F12C7" w:rsidRPr="006D1C91" w:rsidRDefault="000F12C7" w:rsidP="006D1C91">
      <w:pPr>
        <w:spacing w:before="0"/>
        <w:jc w:val="center"/>
        <w:rPr>
          <w:sz w:val="24"/>
          <w:szCs w:val="24"/>
        </w:rPr>
      </w:pPr>
      <w:r w:rsidRPr="006D1C91">
        <w:rPr>
          <w:sz w:val="24"/>
          <w:szCs w:val="24"/>
        </w:rPr>
        <w:t>Washington DC, 2-5 June 2015</w:t>
      </w:r>
    </w:p>
    <w:p w:rsidR="000F12C7" w:rsidRPr="006D1C91" w:rsidRDefault="000F12C7" w:rsidP="006D1C91">
      <w:pPr>
        <w:spacing w:before="0"/>
        <w:jc w:val="center"/>
        <w:rPr>
          <w:sz w:val="24"/>
          <w:szCs w:val="24"/>
        </w:rPr>
      </w:pPr>
      <w:r w:rsidRPr="006D1C91">
        <w:rPr>
          <w:sz w:val="24"/>
          <w:szCs w:val="24"/>
        </w:rPr>
        <w:t>Notes compiled by Peter Ballantyne</w:t>
      </w:r>
    </w:p>
    <w:p w:rsidR="000F12C7" w:rsidRDefault="000F12C7" w:rsidP="006D1C91"/>
    <w:p w:rsidR="000F12C7" w:rsidRDefault="000F12C7" w:rsidP="006D1C91">
      <w:r>
        <w:t>From 2-5 June 2015, members of the Program Coordination Team (PCT) and chief scientists met in Washington. They were joined in some sessions by IFPRI staff working with the Program. The agenda, products and notes are on the wiki (</w:t>
      </w:r>
      <w:hyperlink r:id="rId6" w:history="1">
        <w:r w:rsidRPr="009613DD">
          <w:rPr>
            <w:rStyle w:val="Hyperlink"/>
          </w:rPr>
          <w:t>http://africa-rising.wikispaces.com/retreat2015</w:t>
        </w:r>
      </w:hyperlink>
      <w:r>
        <w:t xml:space="preserve">. </w:t>
      </w:r>
    </w:p>
    <w:p w:rsidR="000F12C7" w:rsidRDefault="000F12C7" w:rsidP="006D1C91">
      <w:r>
        <w:t>The first 2 days comprised a retreat where the main focus was on the Program and its future directions. Day 3 was held at USAID and provided an opportunity to discuss ideas and plans with interested staff. The 8</w:t>
      </w:r>
      <w:r w:rsidRPr="000F12C7">
        <w:rPr>
          <w:vertAlign w:val="superscript"/>
        </w:rPr>
        <w:t>th</w:t>
      </w:r>
      <w:r>
        <w:t xml:space="preserve"> PCT meeting was held on Day 4. </w:t>
      </w:r>
    </w:p>
    <w:p w:rsidR="000F12C7" w:rsidRPr="000F12C7" w:rsidRDefault="000F12C7" w:rsidP="006D1C91">
      <w:pPr>
        <w:pStyle w:val="Heading1"/>
      </w:pPr>
      <w:r w:rsidRPr="000F12C7">
        <w:t>Objectives</w:t>
      </w:r>
    </w:p>
    <w:p w:rsidR="000F12C7" w:rsidRPr="000F12C7" w:rsidRDefault="007E1061" w:rsidP="006D1C91">
      <w:pPr>
        <w:pStyle w:val="ListParagraph"/>
        <w:numPr>
          <w:ilvl w:val="0"/>
          <w:numId w:val="3"/>
        </w:numPr>
      </w:pPr>
      <w:r>
        <w:t>Draft an initial</w:t>
      </w:r>
      <w:r w:rsidR="000F12C7" w:rsidRPr="000F12C7">
        <w:t xml:space="preserve"> phase </w:t>
      </w:r>
      <w:r>
        <w:t>2</w:t>
      </w:r>
      <w:r w:rsidR="000F12C7" w:rsidRPr="000F12C7">
        <w:t xml:space="preserve"> program concept and outline note with purpose, outcomes, activities, hypotheses geo focus; plus initial 'delivery' framework</w:t>
      </w:r>
    </w:p>
    <w:p w:rsidR="000F12C7" w:rsidRPr="000F12C7" w:rsidRDefault="000F12C7" w:rsidP="006D1C91">
      <w:pPr>
        <w:pStyle w:val="ListParagraph"/>
        <w:numPr>
          <w:ilvl w:val="0"/>
          <w:numId w:val="3"/>
        </w:numPr>
      </w:pPr>
      <w:r w:rsidRPr="000F12C7">
        <w:t>Take stock of current project and program strengths, weaknesses and external review comments to feed into objective 1</w:t>
      </w:r>
    </w:p>
    <w:p w:rsidR="000F12C7" w:rsidRPr="000F12C7" w:rsidRDefault="000F12C7" w:rsidP="006D1C91">
      <w:pPr>
        <w:pStyle w:val="ListParagraph"/>
        <w:numPr>
          <w:ilvl w:val="0"/>
          <w:numId w:val="3"/>
        </w:numPr>
      </w:pPr>
      <w:r w:rsidRPr="000F12C7">
        <w:t>Interact with USAID about 1) AR results and promise and 2) importance of SI</w:t>
      </w:r>
    </w:p>
    <w:p w:rsidR="000F12C7" w:rsidRPr="000F12C7" w:rsidRDefault="000F12C7" w:rsidP="006D1C91">
      <w:pPr>
        <w:pStyle w:val="ListParagraph"/>
        <w:numPr>
          <w:ilvl w:val="0"/>
          <w:numId w:val="3"/>
        </w:numPr>
      </w:pPr>
      <w:r w:rsidRPr="000F12C7">
        <w:t xml:space="preserve">Briefly, discuss issues and plans on the immediate/18 month phase </w:t>
      </w:r>
      <w:r w:rsidR="007E1061">
        <w:t>1</w:t>
      </w:r>
      <w:r w:rsidRPr="000F12C7">
        <w:t xml:space="preserve"> agenda</w:t>
      </w:r>
    </w:p>
    <w:p w:rsidR="000F12C7" w:rsidRPr="007E1061" w:rsidRDefault="000F12C7" w:rsidP="006D1C91">
      <w:pPr>
        <w:pStyle w:val="ListParagraph"/>
        <w:numPr>
          <w:ilvl w:val="0"/>
          <w:numId w:val="3"/>
        </w:numPr>
      </w:pPr>
      <w:r w:rsidRPr="000F12C7">
        <w:t xml:space="preserve">Agree scope </w:t>
      </w:r>
      <w:r w:rsidR="007E1061">
        <w:t xml:space="preserve"> of the ‘</w:t>
      </w:r>
      <w:r w:rsidRPr="000F12C7">
        <w:t>science symposium</w:t>
      </w:r>
      <w:r w:rsidR="007E1061">
        <w:t>’</w:t>
      </w:r>
      <w:r w:rsidRPr="000F12C7">
        <w:t xml:space="preserve"> </w:t>
      </w:r>
      <w:r w:rsidR="007470CE">
        <w:t xml:space="preserve">planned for </w:t>
      </w:r>
      <w:r w:rsidRPr="000F12C7">
        <w:t>October</w:t>
      </w:r>
      <w:r w:rsidR="007E1061">
        <w:t xml:space="preserve"> 2015</w:t>
      </w:r>
    </w:p>
    <w:p w:rsidR="007E1061" w:rsidRDefault="007E1061" w:rsidP="006D1C91">
      <w:pPr>
        <w:pStyle w:val="Heading1"/>
      </w:pPr>
      <w:r>
        <w:t>Main issues discussed</w:t>
      </w:r>
    </w:p>
    <w:p w:rsidR="007E1061" w:rsidRDefault="007E1061" w:rsidP="006D1C91">
      <w:proofErr w:type="gramStart"/>
      <w:r w:rsidRPr="006D1C91">
        <w:t>Strengths and weaknesses of the Program</w:t>
      </w:r>
      <w:r w:rsidR="007470CE" w:rsidRPr="006D1C91">
        <w:t>.</w:t>
      </w:r>
      <w:proofErr w:type="gramEnd"/>
      <w:r w:rsidR="007470CE" w:rsidRPr="006D1C91">
        <w:t xml:space="preserve"> Participants carried out a SWOT of the Program identifying things to keep the same, boost or reduce. Notes are available at </w:t>
      </w:r>
      <w:hyperlink r:id="rId7" w:history="1">
        <w:r w:rsidR="001D4A56" w:rsidRPr="00B832BC">
          <w:rPr>
            <w:rStyle w:val="Hyperlink"/>
          </w:rPr>
          <w:t>http://africa-rising.wikispaces.com/retreat2015</w:t>
        </w:r>
      </w:hyperlink>
    </w:p>
    <w:p w:rsidR="007E1061" w:rsidRDefault="007E1061" w:rsidP="006D1C91">
      <w:proofErr w:type="gramStart"/>
      <w:r w:rsidRPr="006D1C91">
        <w:t>Sustainable intensification assessment framework</w:t>
      </w:r>
      <w:r w:rsidR="007470CE" w:rsidRPr="006D1C91">
        <w:t>.</w:t>
      </w:r>
      <w:proofErr w:type="gramEnd"/>
      <w:r w:rsidR="007470CE" w:rsidRPr="006D1C91">
        <w:t xml:space="preserve">  For the past several months, the Program, USAID and other SI projects have been working on a framework to help assess and measure SI indicators. A steering committee has been set up (Peter Thorne as member) and the SI innovation lab is funding 2 postdocs to validate the initial framework in the field (early results expected July 2016).</w:t>
      </w:r>
      <w:r w:rsidR="00341758" w:rsidRPr="006D1C91">
        <w:t xml:space="preserve"> </w:t>
      </w:r>
      <w:r w:rsidR="00A272DA" w:rsidRPr="006D1C91">
        <w:t xml:space="preserve">This work will be a focus of the October workshop. </w:t>
      </w:r>
      <w:r w:rsidR="00341758" w:rsidRPr="006D1C91">
        <w:t xml:space="preserve">More information: </w:t>
      </w:r>
      <w:hyperlink r:id="rId8" w:history="1">
        <w:r w:rsidR="001D4A56" w:rsidRPr="00B832BC">
          <w:rPr>
            <w:rStyle w:val="Hyperlink"/>
          </w:rPr>
          <w:t>http://africa-rising.wikispaces.com/si-framework</w:t>
        </w:r>
      </w:hyperlink>
    </w:p>
    <w:p w:rsidR="00A272DA" w:rsidRDefault="007E1061" w:rsidP="006D1C91">
      <w:r w:rsidRPr="006D1C91">
        <w:t>Phase 1 deliverables</w:t>
      </w:r>
      <w:r w:rsidR="00A272DA" w:rsidRPr="006D1C91">
        <w:t xml:space="preserve">. A set of actions were identified to work on at the program level. Download the </w:t>
      </w:r>
      <w:proofErr w:type="spellStart"/>
      <w:proofErr w:type="gramStart"/>
      <w:r w:rsidR="00A272DA" w:rsidRPr="006D1C91">
        <w:t>gantt</w:t>
      </w:r>
      <w:proofErr w:type="spellEnd"/>
      <w:proofErr w:type="gramEnd"/>
      <w:r w:rsidR="00A272DA" w:rsidRPr="006D1C91">
        <w:t xml:space="preserve"> chart at </w:t>
      </w:r>
      <w:hyperlink r:id="rId9" w:history="1">
        <w:r w:rsidR="001D4A56" w:rsidRPr="00B832BC">
          <w:rPr>
            <w:rStyle w:val="Hyperlink"/>
          </w:rPr>
          <w:t>http://africa-rising.wikispaces.com/retreat2015</w:t>
        </w:r>
      </w:hyperlink>
    </w:p>
    <w:p w:rsidR="006D1C91" w:rsidRDefault="006D1C91" w:rsidP="006D1C91">
      <w:proofErr w:type="gramStart"/>
      <w:r w:rsidRPr="006D1C91">
        <w:t>External review of the Program.</w:t>
      </w:r>
      <w:proofErr w:type="gramEnd"/>
      <w:r w:rsidRPr="006D1C91">
        <w:t xml:space="preserve"> This is planned to start in September with field visits to Ethiopia and West Africa. It will be completed in April 2016 after a visit to East and West Africa. More information:</w:t>
      </w:r>
      <w:r w:rsidR="001D4A56">
        <w:t xml:space="preserve"> </w:t>
      </w:r>
      <w:hyperlink r:id="rId10" w:history="1">
        <w:r w:rsidR="001D4A56" w:rsidRPr="00B832BC">
          <w:rPr>
            <w:rStyle w:val="Hyperlink"/>
          </w:rPr>
          <w:t>http://africa-rising.wikispaces.com/review2015</w:t>
        </w:r>
      </w:hyperlink>
      <w:r w:rsidRPr="006D1C91">
        <w:t xml:space="preserve"> </w:t>
      </w:r>
    </w:p>
    <w:p w:rsidR="006D1C91" w:rsidRPr="006D1C91" w:rsidRDefault="006D1C91" w:rsidP="006D1C91">
      <w:r w:rsidRPr="006D1C91">
        <w:t xml:space="preserve">Science Advisory Group. It was agreed that membership needs to be updated in light of some changes. The next SAG meeting will be </w:t>
      </w:r>
      <w:proofErr w:type="gramStart"/>
      <w:r w:rsidRPr="006D1C91">
        <w:t>virtual</w:t>
      </w:r>
      <w:proofErr w:type="gramEnd"/>
      <w:r w:rsidRPr="006D1C91">
        <w:t xml:space="preserve"> in late June; with a face to face meeting at the October 2015 workshop.</w:t>
      </w:r>
    </w:p>
    <w:p w:rsidR="001D4A56" w:rsidRDefault="00D979DE" w:rsidP="006D1C91">
      <w:r>
        <w:rPr>
          <w:noProof/>
        </w:rPr>
        <w:lastRenderedPageBreak/>
        <w:drawing>
          <wp:anchor distT="0" distB="0" distL="114300" distR="114300" simplePos="0" relativeHeight="251658240" behindDoc="0" locked="0" layoutInCell="1" allowOverlap="1" wp14:anchorId="2BFE18C0" wp14:editId="4E0851BE">
            <wp:simplePos x="0" y="0"/>
            <wp:positionH relativeFrom="column">
              <wp:posOffset>1049020</wp:posOffset>
            </wp:positionH>
            <wp:positionV relativeFrom="paragraph">
              <wp:posOffset>824865</wp:posOffset>
            </wp:positionV>
            <wp:extent cx="3768725" cy="2118995"/>
            <wp:effectExtent l="0" t="0" r="3175" b="0"/>
            <wp:wrapTopAndBottom/>
            <wp:docPr id="1" name="Picture 1" descr="C:\Users\pballantyne\Documents\africa rising\retreat2015\AR-program-workshop-pl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ballantyne\Documents\africa rising\retreat2015\AR-program-workshop-plans.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768725" cy="21189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6D1C91" w:rsidRPr="006D1C91">
        <w:t>Program strategy workshop.</w:t>
      </w:r>
      <w:proofErr w:type="gramEnd"/>
      <w:r w:rsidR="006D1C91" w:rsidRPr="006D1C91">
        <w:t xml:space="preserve"> It was agreed that a symposium should be deferred to March 2016. Instead, we should use the October dates to focus on program strategy and phase 2 pl</w:t>
      </w:r>
      <w:r w:rsidR="006D1C91">
        <w:t>anning.</w:t>
      </w:r>
      <w:r>
        <w:t xml:space="preserve"> During the meeting, 5 work streams were identified with associated pre-, during and post-meeting activities and assignments.</w:t>
      </w:r>
      <w:r w:rsidR="001D4A56">
        <w:t xml:space="preserve"> More information: </w:t>
      </w:r>
      <w:r w:rsidR="006D1C91">
        <w:t xml:space="preserve"> </w:t>
      </w:r>
      <w:hyperlink r:id="rId12" w:history="1">
        <w:r w:rsidR="001D4A56" w:rsidRPr="00B832BC">
          <w:rPr>
            <w:rStyle w:val="Hyperlink"/>
          </w:rPr>
          <w:t>http://africa-rising.wikispaces.com/AR-strategy2015</w:t>
        </w:r>
      </w:hyperlink>
    </w:p>
    <w:p w:rsidR="006D1C91" w:rsidRDefault="001D4A56" w:rsidP="006D1C91">
      <w:proofErr w:type="gramStart"/>
      <w:r>
        <w:t>Program ‘systems’ approach.</w:t>
      </w:r>
      <w:proofErr w:type="gramEnd"/>
      <w:r>
        <w:t xml:space="preserve"> Along with strong R4D partnerships, it was recognized that the systems approaches adopted are major strengths of the Program. With the</w:t>
      </w:r>
      <w:r w:rsidR="00282511">
        <w:t xml:space="preserve"> ongoing</w:t>
      </w:r>
      <w:r>
        <w:t xml:space="preserve"> </w:t>
      </w:r>
      <w:r w:rsidR="00282511">
        <w:t xml:space="preserve">changes to the current </w:t>
      </w:r>
      <w:r>
        <w:t>systems CR</w:t>
      </w:r>
      <w:bookmarkStart w:id="0" w:name="_GoBack"/>
      <w:bookmarkEnd w:id="0"/>
      <w:r>
        <w:t>Ps in the CGIAR portfolio, the Program will need to very clearly articulate its specific ‘systems’ approach. This will be a focus of the October workshop.</w:t>
      </w:r>
    </w:p>
    <w:p w:rsidR="007E1061" w:rsidRDefault="007E1061" w:rsidP="006D1C91">
      <w:r w:rsidRPr="006D1C91">
        <w:t>Phase 2 ‘vision of success’ and design</w:t>
      </w:r>
      <w:r w:rsidR="006D1C91">
        <w:t xml:space="preserve">. Building on the SWOT exercise participants brainstormed some initial visions of success and theory of change for the Program (see below and at </w:t>
      </w:r>
      <w:hyperlink r:id="rId13" w:history="1">
        <w:r w:rsidR="006D1C91" w:rsidRPr="00B832BC">
          <w:rPr>
            <w:rStyle w:val="Hyperlink"/>
          </w:rPr>
          <w:t>http://africa-rising.wikispaces.com/review2015</w:t>
        </w:r>
      </w:hyperlink>
      <w:r w:rsidR="006D1C91">
        <w:t xml:space="preserve">). </w:t>
      </w:r>
      <w:r w:rsidR="001D4A56">
        <w:t>This will be a focus of the October workshop.</w:t>
      </w:r>
    </w:p>
    <w:p w:rsidR="001D4A56" w:rsidRDefault="001D4A56" w:rsidP="006D1C91">
      <w:r>
        <w:t>Some initial ideas on program design – assuming the program continues as several linked projects – are also captured on the wiki (</w:t>
      </w:r>
      <w:hyperlink r:id="rId14" w:history="1">
        <w:r w:rsidRPr="00B832BC">
          <w:rPr>
            <w:rStyle w:val="Hyperlink"/>
          </w:rPr>
          <w:t>http://africa-rising.wikispaces.com/retreat2015</w:t>
        </w:r>
      </w:hyperlink>
      <w:r>
        <w:t>). The main intention is to strengthen capacities in individual projects and add some extra support to coordination at the Program level (recognizing this is also time-demanding).</w:t>
      </w:r>
    </w:p>
    <w:p w:rsidR="006D1C91" w:rsidRDefault="006D1C91" w:rsidP="006D1C91">
      <w:r>
        <w:t>The diagram below sets out an initial (scaling) vision of success that sees partners gradually taking up and scaling out Program results.</w:t>
      </w:r>
    </w:p>
    <w:p w:rsidR="001D4A56" w:rsidRDefault="001D4A56" w:rsidP="006D1C91"/>
    <w:p w:rsidR="006D1C91" w:rsidRDefault="006D1C91" w:rsidP="006D1C91">
      <w:pPr>
        <w:tabs>
          <w:tab w:val="left" w:pos="-450"/>
        </w:tabs>
        <w:spacing w:before="120" w:after="120"/>
        <w:ind w:left="1123" w:hanging="1267"/>
        <w:jc w:val="center"/>
      </w:pPr>
      <w:r>
        <w:rPr>
          <w:noProof/>
        </w:rPr>
        <w:drawing>
          <wp:inline distT="0" distB="0" distL="0" distR="0" wp14:anchorId="2BF39FFF" wp14:editId="3C4DB594">
            <wp:extent cx="4364182" cy="1974273"/>
            <wp:effectExtent l="38100" t="38100" r="36830" b="45085"/>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84008" cy="1983242"/>
                    </a:xfrm>
                    <a:prstGeom prst="rect">
                      <a:avLst/>
                    </a:prstGeom>
                    <a:noFill/>
                    <a:ln w="38100">
                      <a:solidFill>
                        <a:schemeClr val="tx1"/>
                      </a:solidFill>
                    </a:ln>
                  </pic:spPr>
                </pic:pic>
              </a:graphicData>
            </a:graphic>
          </wp:inline>
        </w:drawing>
      </w:r>
    </w:p>
    <w:p w:rsidR="006D1C91" w:rsidRDefault="006D1C91" w:rsidP="006D1C91">
      <w:pPr>
        <w:tabs>
          <w:tab w:val="left" w:pos="-450"/>
        </w:tabs>
        <w:spacing w:before="120" w:after="120"/>
        <w:ind w:left="1123" w:hanging="1267"/>
        <w:jc w:val="center"/>
      </w:pPr>
    </w:p>
    <w:p w:rsidR="001D4A56" w:rsidRDefault="001D4A56">
      <w:pPr>
        <w:spacing w:before="0" w:after="200" w:line="276" w:lineRule="auto"/>
      </w:pPr>
      <w:r>
        <w:br w:type="page"/>
      </w:r>
    </w:p>
    <w:p w:rsidR="006D1C91" w:rsidRDefault="006D1C91" w:rsidP="006D1C91">
      <w:r>
        <w:lastRenderedPageBreak/>
        <w:t>The table below identified a simple high-level Program ‘theory of change’ aligned to the 5 SI domains</w:t>
      </w:r>
      <w:r w:rsidR="001D4A56">
        <w:t xml:space="preserve"> </w:t>
      </w:r>
      <w:r>
        <w:t>emerging through the assessment framework</w:t>
      </w:r>
      <w:r w:rsidR="001D4A56">
        <w:t xml:space="preserve"> (plus 2 cross-cutting issues)</w:t>
      </w:r>
      <w:r>
        <w:t xml:space="preserve">. The idea is that this common framework would apply across the Program with individual projects elaborating them in more detail.  It was agreed that this approach will be piloted by </w:t>
      </w:r>
      <w:r w:rsidR="001D4A56">
        <w:t>the Ethiopia project in June-August 2015</w:t>
      </w:r>
      <w:r>
        <w:t>.</w:t>
      </w:r>
      <w:r w:rsidR="001D4A56">
        <w:t xml:space="preserve"> </w:t>
      </w:r>
    </w:p>
    <w:p w:rsidR="001D4A56" w:rsidRDefault="001D4A56" w:rsidP="006D1C91"/>
    <w:tbl>
      <w:tblPr>
        <w:tblStyle w:val="TableGrid"/>
        <w:tblW w:w="5000" w:type="pct"/>
        <w:tblLook w:val="04A0" w:firstRow="1" w:lastRow="0" w:firstColumn="1" w:lastColumn="0" w:noHBand="0" w:noVBand="1"/>
      </w:tblPr>
      <w:tblGrid>
        <w:gridCol w:w="688"/>
        <w:gridCol w:w="1108"/>
        <w:gridCol w:w="1875"/>
        <w:gridCol w:w="9"/>
        <w:gridCol w:w="1829"/>
        <w:gridCol w:w="1857"/>
        <w:gridCol w:w="1877"/>
      </w:tblGrid>
      <w:tr w:rsidR="006D1C91" w:rsidRPr="006D1C91" w:rsidTr="006D1C91">
        <w:tc>
          <w:tcPr>
            <w:tcW w:w="809" w:type="pct"/>
            <w:gridSpan w:val="2"/>
            <w:tcBorders>
              <w:top w:val="single" w:sz="24" w:space="0" w:color="auto"/>
              <w:left w:val="single" w:sz="24" w:space="0" w:color="auto"/>
              <w:bottom w:val="single" w:sz="24" w:space="0" w:color="auto"/>
              <w:right w:val="single" w:sz="8" w:space="0" w:color="auto"/>
            </w:tcBorders>
            <w:shd w:val="clear" w:color="auto" w:fill="F2F2F2" w:themeFill="background1" w:themeFillShade="F2"/>
          </w:tcPr>
          <w:p w:rsidR="006D1C91" w:rsidRPr="006D1C91" w:rsidRDefault="006D1C91" w:rsidP="00AC4E54">
            <w:pPr>
              <w:rPr>
                <w:b/>
                <w:sz w:val="18"/>
                <w:szCs w:val="18"/>
              </w:rPr>
            </w:pPr>
            <w:r w:rsidRPr="006D1C91">
              <w:rPr>
                <w:b/>
                <w:sz w:val="18"/>
                <w:szCs w:val="18"/>
              </w:rPr>
              <w:t>Impact pathway:</w:t>
            </w:r>
          </w:p>
        </w:tc>
        <w:tc>
          <w:tcPr>
            <w:tcW w:w="1047" w:type="pct"/>
            <w:tcBorders>
              <w:top w:val="single" w:sz="24" w:space="0" w:color="auto"/>
              <w:left w:val="single" w:sz="8" w:space="0" w:color="auto"/>
              <w:bottom w:val="single" w:sz="24" w:space="0" w:color="auto"/>
              <w:right w:val="single" w:sz="8" w:space="0" w:color="auto"/>
            </w:tcBorders>
            <w:shd w:val="clear" w:color="auto" w:fill="F2F2F2" w:themeFill="background1" w:themeFillShade="F2"/>
          </w:tcPr>
          <w:p w:rsidR="006D1C91" w:rsidRPr="006D1C91" w:rsidRDefault="006D1C91" w:rsidP="006D1C91">
            <w:pPr>
              <w:rPr>
                <w:b/>
                <w:sz w:val="18"/>
                <w:szCs w:val="18"/>
              </w:rPr>
            </w:pPr>
            <w:r>
              <w:rPr>
                <w:b/>
                <w:sz w:val="18"/>
                <w:szCs w:val="18"/>
              </w:rPr>
              <w:t>R</w:t>
            </w:r>
            <w:r w:rsidRPr="006D1C91">
              <w:rPr>
                <w:b/>
                <w:sz w:val="18"/>
                <w:szCs w:val="18"/>
              </w:rPr>
              <w:t>esearch activities</w:t>
            </w:r>
          </w:p>
        </w:tc>
        <w:tc>
          <w:tcPr>
            <w:tcW w:w="1059" w:type="pct"/>
            <w:gridSpan w:val="2"/>
            <w:tcBorders>
              <w:top w:val="single" w:sz="24" w:space="0" w:color="auto"/>
              <w:left w:val="single" w:sz="8" w:space="0" w:color="auto"/>
              <w:bottom w:val="single" w:sz="24" w:space="0" w:color="auto"/>
              <w:right w:val="single" w:sz="8" w:space="0" w:color="auto"/>
            </w:tcBorders>
            <w:shd w:val="clear" w:color="auto" w:fill="F2F2F2" w:themeFill="background1" w:themeFillShade="F2"/>
          </w:tcPr>
          <w:p w:rsidR="006D1C91" w:rsidRPr="006D1C91" w:rsidRDefault="006D1C91" w:rsidP="00AC4E54">
            <w:pPr>
              <w:rPr>
                <w:b/>
                <w:sz w:val="18"/>
                <w:szCs w:val="18"/>
              </w:rPr>
            </w:pPr>
            <w:r w:rsidRPr="006D1C91">
              <w:rPr>
                <w:b/>
                <w:sz w:val="18"/>
                <w:szCs w:val="18"/>
              </w:rPr>
              <w:t>Research Outputs</w:t>
            </w:r>
          </w:p>
        </w:tc>
        <w:tc>
          <w:tcPr>
            <w:tcW w:w="1037" w:type="pct"/>
            <w:tcBorders>
              <w:top w:val="single" w:sz="24" w:space="0" w:color="auto"/>
              <w:left w:val="single" w:sz="8" w:space="0" w:color="auto"/>
              <w:bottom w:val="single" w:sz="24" w:space="0" w:color="auto"/>
              <w:right w:val="single" w:sz="8" w:space="0" w:color="auto"/>
            </w:tcBorders>
            <w:shd w:val="clear" w:color="auto" w:fill="F2F2F2" w:themeFill="background1" w:themeFillShade="F2"/>
          </w:tcPr>
          <w:p w:rsidR="006D1C91" w:rsidRPr="006D1C91" w:rsidRDefault="006D1C91" w:rsidP="00AC4E54">
            <w:pPr>
              <w:rPr>
                <w:b/>
                <w:sz w:val="18"/>
                <w:szCs w:val="18"/>
              </w:rPr>
            </w:pPr>
            <w:r w:rsidRPr="006D1C91">
              <w:rPr>
                <w:b/>
                <w:sz w:val="18"/>
                <w:szCs w:val="18"/>
              </w:rPr>
              <w:t>Development outcomes</w:t>
            </w:r>
          </w:p>
        </w:tc>
        <w:tc>
          <w:tcPr>
            <w:tcW w:w="1048" w:type="pct"/>
            <w:tcBorders>
              <w:top w:val="single" w:sz="24" w:space="0" w:color="auto"/>
              <w:left w:val="single" w:sz="8" w:space="0" w:color="auto"/>
              <w:bottom w:val="single" w:sz="24" w:space="0" w:color="auto"/>
              <w:right w:val="single" w:sz="24" w:space="0" w:color="auto"/>
            </w:tcBorders>
            <w:shd w:val="clear" w:color="auto" w:fill="F2F2F2" w:themeFill="background1" w:themeFillShade="F2"/>
          </w:tcPr>
          <w:p w:rsidR="006D1C91" w:rsidRPr="006D1C91" w:rsidRDefault="006D1C91" w:rsidP="00AC4E54">
            <w:pPr>
              <w:rPr>
                <w:b/>
                <w:sz w:val="18"/>
                <w:szCs w:val="18"/>
              </w:rPr>
            </w:pPr>
            <w:r w:rsidRPr="006D1C91">
              <w:rPr>
                <w:b/>
                <w:sz w:val="18"/>
                <w:szCs w:val="18"/>
              </w:rPr>
              <w:t>Development impacts related to SI</w:t>
            </w:r>
          </w:p>
        </w:tc>
      </w:tr>
      <w:tr w:rsidR="006D1C91" w:rsidRPr="006D1C91" w:rsidTr="006D1C91">
        <w:tc>
          <w:tcPr>
            <w:tcW w:w="809" w:type="pct"/>
            <w:gridSpan w:val="2"/>
            <w:tcBorders>
              <w:top w:val="single" w:sz="24" w:space="0" w:color="auto"/>
              <w:left w:val="single" w:sz="24" w:space="0" w:color="auto"/>
              <w:bottom w:val="single" w:sz="24" w:space="0" w:color="auto"/>
            </w:tcBorders>
            <w:shd w:val="pct5" w:color="auto" w:fill="auto"/>
          </w:tcPr>
          <w:p w:rsidR="006D1C91" w:rsidRPr="006D1C91" w:rsidRDefault="006D1C91" w:rsidP="00AC4E54">
            <w:pPr>
              <w:rPr>
                <w:b/>
                <w:sz w:val="18"/>
                <w:szCs w:val="18"/>
              </w:rPr>
            </w:pPr>
            <w:r w:rsidRPr="006D1C91">
              <w:rPr>
                <w:b/>
                <w:sz w:val="18"/>
                <w:szCs w:val="18"/>
              </w:rPr>
              <w:t>Generic research and development outputs/ outcomes:</w:t>
            </w:r>
          </w:p>
        </w:tc>
        <w:tc>
          <w:tcPr>
            <w:tcW w:w="1053" w:type="pct"/>
            <w:gridSpan w:val="2"/>
            <w:tcBorders>
              <w:top w:val="single" w:sz="24" w:space="0" w:color="auto"/>
            </w:tcBorders>
          </w:tcPr>
          <w:p w:rsidR="006D1C91" w:rsidRPr="006D1C91" w:rsidRDefault="006D1C91" w:rsidP="006D1C91">
            <w:pPr>
              <w:pStyle w:val="ListParagraph"/>
              <w:numPr>
                <w:ilvl w:val="0"/>
                <w:numId w:val="6"/>
              </w:numPr>
              <w:spacing w:before="0"/>
              <w:ind w:left="129" w:hanging="180"/>
              <w:rPr>
                <w:sz w:val="18"/>
                <w:szCs w:val="18"/>
              </w:rPr>
            </w:pPr>
            <w:r w:rsidRPr="006D1C91">
              <w:rPr>
                <w:sz w:val="18"/>
                <w:szCs w:val="18"/>
              </w:rPr>
              <w:t>Project work plans</w:t>
            </w:r>
          </w:p>
        </w:tc>
        <w:tc>
          <w:tcPr>
            <w:tcW w:w="1053" w:type="pct"/>
            <w:tcBorders>
              <w:top w:val="single" w:sz="24" w:space="0" w:color="auto"/>
            </w:tcBorders>
          </w:tcPr>
          <w:p w:rsidR="006D1C91" w:rsidRPr="006D1C91" w:rsidRDefault="006D1C91" w:rsidP="006D1C91">
            <w:pPr>
              <w:pStyle w:val="ListParagraph"/>
              <w:numPr>
                <w:ilvl w:val="0"/>
                <w:numId w:val="6"/>
              </w:numPr>
              <w:spacing w:before="0"/>
              <w:ind w:left="129" w:hanging="180"/>
              <w:rPr>
                <w:sz w:val="18"/>
                <w:szCs w:val="18"/>
              </w:rPr>
            </w:pPr>
            <w:r w:rsidRPr="006D1C91">
              <w:rPr>
                <w:sz w:val="18"/>
                <w:szCs w:val="18"/>
              </w:rPr>
              <w:t>Demand-driven options for SI</w:t>
            </w:r>
          </w:p>
          <w:p w:rsidR="006D1C91" w:rsidRPr="006D1C91" w:rsidRDefault="006D1C91" w:rsidP="006D1C91">
            <w:pPr>
              <w:pStyle w:val="ListParagraph"/>
              <w:numPr>
                <w:ilvl w:val="0"/>
                <w:numId w:val="6"/>
              </w:numPr>
              <w:spacing w:before="0"/>
              <w:ind w:left="129" w:hanging="180"/>
              <w:rPr>
                <w:sz w:val="18"/>
                <w:szCs w:val="18"/>
              </w:rPr>
            </w:pPr>
            <w:r w:rsidRPr="006D1C91">
              <w:rPr>
                <w:sz w:val="18"/>
                <w:szCs w:val="18"/>
              </w:rPr>
              <w:t xml:space="preserve">Knowledge on SI </w:t>
            </w:r>
          </w:p>
          <w:p w:rsidR="006D1C91" w:rsidRPr="006D1C91" w:rsidRDefault="006D1C91" w:rsidP="006D1C91">
            <w:pPr>
              <w:pStyle w:val="ListParagraph"/>
              <w:numPr>
                <w:ilvl w:val="0"/>
                <w:numId w:val="6"/>
              </w:numPr>
              <w:spacing w:before="0"/>
              <w:ind w:left="129" w:hanging="180"/>
              <w:rPr>
                <w:sz w:val="18"/>
                <w:szCs w:val="18"/>
              </w:rPr>
            </w:pPr>
            <w:r w:rsidRPr="006D1C91">
              <w:rPr>
                <w:sz w:val="18"/>
                <w:szCs w:val="18"/>
              </w:rPr>
              <w:t>Delivery pathways</w:t>
            </w:r>
          </w:p>
        </w:tc>
        <w:tc>
          <w:tcPr>
            <w:tcW w:w="2085" w:type="pct"/>
            <w:gridSpan w:val="2"/>
            <w:tcBorders>
              <w:top w:val="single" w:sz="24" w:space="0" w:color="auto"/>
              <w:right w:val="single" w:sz="24" w:space="0" w:color="auto"/>
            </w:tcBorders>
          </w:tcPr>
          <w:p w:rsidR="006D1C91" w:rsidRPr="006D1C91" w:rsidRDefault="006D1C91" w:rsidP="006D1C91">
            <w:pPr>
              <w:pStyle w:val="ListParagraph"/>
              <w:numPr>
                <w:ilvl w:val="0"/>
                <w:numId w:val="6"/>
              </w:numPr>
              <w:spacing w:before="0"/>
              <w:ind w:left="129" w:hanging="180"/>
              <w:rPr>
                <w:sz w:val="18"/>
                <w:szCs w:val="18"/>
              </w:rPr>
            </w:pPr>
            <w:r w:rsidRPr="006D1C91">
              <w:rPr>
                <w:sz w:val="18"/>
                <w:szCs w:val="18"/>
              </w:rPr>
              <w:t>System improvement through SI in communities participating in Africa</w:t>
            </w:r>
            <w:r>
              <w:rPr>
                <w:sz w:val="18"/>
                <w:szCs w:val="18"/>
              </w:rPr>
              <w:t xml:space="preserve"> </w:t>
            </w:r>
            <w:r w:rsidRPr="006D1C91">
              <w:rPr>
                <w:sz w:val="18"/>
                <w:szCs w:val="18"/>
              </w:rPr>
              <w:t>RISING</w:t>
            </w:r>
          </w:p>
          <w:p w:rsidR="006D1C91" w:rsidRPr="006D1C91" w:rsidRDefault="006D1C91" w:rsidP="006D1C91">
            <w:pPr>
              <w:pStyle w:val="ListParagraph"/>
              <w:numPr>
                <w:ilvl w:val="0"/>
                <w:numId w:val="6"/>
              </w:numPr>
              <w:spacing w:before="0"/>
              <w:ind w:left="129" w:hanging="180"/>
              <w:rPr>
                <w:sz w:val="18"/>
                <w:szCs w:val="18"/>
              </w:rPr>
            </w:pPr>
            <w:r w:rsidRPr="006D1C91">
              <w:rPr>
                <w:sz w:val="18"/>
                <w:szCs w:val="18"/>
              </w:rPr>
              <w:t>Enhanced capacity of partners engaged in Africa</w:t>
            </w:r>
            <w:r>
              <w:rPr>
                <w:sz w:val="18"/>
                <w:szCs w:val="18"/>
              </w:rPr>
              <w:t xml:space="preserve"> </w:t>
            </w:r>
            <w:r w:rsidRPr="006D1C91">
              <w:rPr>
                <w:sz w:val="18"/>
                <w:szCs w:val="18"/>
              </w:rPr>
              <w:t>RISING</w:t>
            </w:r>
          </w:p>
        </w:tc>
      </w:tr>
      <w:tr w:rsidR="006D1C91" w:rsidRPr="006D1C91" w:rsidTr="006D1C91">
        <w:tc>
          <w:tcPr>
            <w:tcW w:w="177" w:type="pct"/>
            <w:vMerge w:val="restart"/>
            <w:tcBorders>
              <w:top w:val="single" w:sz="24" w:space="0" w:color="auto"/>
              <w:left w:val="single" w:sz="24" w:space="0" w:color="auto"/>
            </w:tcBorders>
            <w:shd w:val="pct5" w:color="auto" w:fill="auto"/>
            <w:textDirection w:val="btLr"/>
          </w:tcPr>
          <w:p w:rsidR="006D1C91" w:rsidRPr="006D1C91" w:rsidRDefault="006D1C91" w:rsidP="00AC4E54">
            <w:pPr>
              <w:ind w:right="113"/>
              <w:jc w:val="center"/>
              <w:rPr>
                <w:b/>
                <w:sz w:val="18"/>
                <w:szCs w:val="18"/>
              </w:rPr>
            </w:pPr>
            <w:r w:rsidRPr="006D1C91">
              <w:rPr>
                <w:b/>
                <w:sz w:val="18"/>
                <w:szCs w:val="18"/>
              </w:rPr>
              <w:t>SI indicator framework</w:t>
            </w:r>
          </w:p>
        </w:tc>
        <w:tc>
          <w:tcPr>
            <w:tcW w:w="632" w:type="pct"/>
            <w:tcBorders>
              <w:top w:val="single" w:sz="24" w:space="0" w:color="auto"/>
            </w:tcBorders>
            <w:shd w:val="pct5" w:color="auto" w:fill="auto"/>
          </w:tcPr>
          <w:p w:rsidR="006D1C91" w:rsidRPr="006D1C91" w:rsidRDefault="006D1C91" w:rsidP="00AC4E54">
            <w:pPr>
              <w:rPr>
                <w:b/>
                <w:sz w:val="18"/>
                <w:szCs w:val="18"/>
              </w:rPr>
            </w:pPr>
            <w:proofErr w:type="spellStart"/>
            <w:r w:rsidRPr="006D1C91">
              <w:rPr>
                <w:b/>
                <w:sz w:val="18"/>
                <w:szCs w:val="18"/>
              </w:rPr>
              <w:t>Producti-vity</w:t>
            </w:r>
            <w:proofErr w:type="spellEnd"/>
            <w:r w:rsidRPr="006D1C91">
              <w:rPr>
                <w:b/>
                <w:sz w:val="18"/>
                <w:szCs w:val="18"/>
              </w:rPr>
              <w:t xml:space="preserve"> </w:t>
            </w:r>
          </w:p>
        </w:tc>
        <w:tc>
          <w:tcPr>
            <w:tcW w:w="1047" w:type="pct"/>
            <w:tcBorders>
              <w:top w:val="single" w:sz="24" w:space="0" w:color="auto"/>
            </w:tcBorders>
          </w:tcPr>
          <w:p w:rsidR="006D1C91" w:rsidRPr="006D1C91" w:rsidRDefault="006D1C91" w:rsidP="006D1C91">
            <w:pPr>
              <w:pStyle w:val="ListParagraph"/>
              <w:numPr>
                <w:ilvl w:val="0"/>
                <w:numId w:val="8"/>
              </w:numPr>
              <w:spacing w:before="0"/>
              <w:ind w:left="129" w:hanging="180"/>
              <w:rPr>
                <w:sz w:val="18"/>
                <w:szCs w:val="18"/>
              </w:rPr>
            </w:pPr>
            <w:r w:rsidRPr="006D1C91">
              <w:rPr>
                <w:sz w:val="18"/>
                <w:szCs w:val="18"/>
              </w:rPr>
              <w:t>Cluster of research protocols in relation to productivity</w:t>
            </w:r>
          </w:p>
        </w:tc>
        <w:tc>
          <w:tcPr>
            <w:tcW w:w="1059" w:type="pct"/>
            <w:gridSpan w:val="2"/>
            <w:tcBorders>
              <w:top w:val="single" w:sz="24" w:space="0" w:color="auto"/>
            </w:tcBorders>
          </w:tcPr>
          <w:p w:rsidR="006D1C91" w:rsidRPr="006D1C91" w:rsidRDefault="006D1C91" w:rsidP="006D1C91">
            <w:pPr>
              <w:pStyle w:val="ListParagraph"/>
              <w:numPr>
                <w:ilvl w:val="0"/>
                <w:numId w:val="7"/>
              </w:numPr>
              <w:spacing w:before="0"/>
              <w:ind w:left="129" w:hanging="180"/>
              <w:rPr>
                <w:sz w:val="18"/>
                <w:szCs w:val="18"/>
              </w:rPr>
            </w:pPr>
            <w:r w:rsidRPr="006D1C91">
              <w:rPr>
                <w:sz w:val="18"/>
                <w:szCs w:val="18"/>
              </w:rPr>
              <w:t xml:space="preserve">Innovations to increase crop and livestock productivity, and input and water use efficiency </w:t>
            </w:r>
          </w:p>
        </w:tc>
        <w:tc>
          <w:tcPr>
            <w:tcW w:w="1037" w:type="pct"/>
            <w:tcBorders>
              <w:top w:val="single" w:sz="24" w:space="0" w:color="auto"/>
            </w:tcBorders>
          </w:tcPr>
          <w:p w:rsidR="006D1C91" w:rsidRPr="006D1C91" w:rsidRDefault="006D1C91" w:rsidP="006D1C91">
            <w:pPr>
              <w:pStyle w:val="ListParagraph"/>
              <w:numPr>
                <w:ilvl w:val="0"/>
                <w:numId w:val="7"/>
              </w:numPr>
              <w:spacing w:before="0"/>
              <w:ind w:left="129" w:hanging="180"/>
              <w:rPr>
                <w:sz w:val="18"/>
                <w:szCs w:val="18"/>
              </w:rPr>
            </w:pPr>
            <w:r w:rsidRPr="006D1C91">
              <w:rPr>
                <w:sz w:val="18"/>
                <w:szCs w:val="18"/>
              </w:rPr>
              <w:t>More feed, food fiber and fuel per farm</w:t>
            </w:r>
          </w:p>
          <w:p w:rsidR="006D1C91" w:rsidRPr="006D1C91" w:rsidRDefault="006D1C91" w:rsidP="006D1C91">
            <w:pPr>
              <w:pStyle w:val="ListParagraph"/>
              <w:numPr>
                <w:ilvl w:val="0"/>
                <w:numId w:val="7"/>
              </w:numPr>
              <w:spacing w:before="0"/>
              <w:ind w:left="129" w:hanging="180"/>
              <w:rPr>
                <w:sz w:val="18"/>
                <w:szCs w:val="18"/>
              </w:rPr>
            </w:pPr>
            <w:r w:rsidRPr="006D1C91">
              <w:rPr>
                <w:sz w:val="18"/>
                <w:szCs w:val="18"/>
              </w:rPr>
              <w:t>Extra produce for sales and income</w:t>
            </w:r>
          </w:p>
        </w:tc>
        <w:tc>
          <w:tcPr>
            <w:tcW w:w="1048" w:type="pct"/>
            <w:tcBorders>
              <w:top w:val="single" w:sz="24" w:space="0" w:color="auto"/>
              <w:right w:val="single" w:sz="24" w:space="0" w:color="auto"/>
            </w:tcBorders>
          </w:tcPr>
          <w:p w:rsidR="006D1C91" w:rsidRPr="006D1C91" w:rsidRDefault="006D1C91" w:rsidP="006D1C91">
            <w:pPr>
              <w:pStyle w:val="ListParagraph"/>
              <w:numPr>
                <w:ilvl w:val="0"/>
                <w:numId w:val="7"/>
              </w:numPr>
              <w:spacing w:before="0"/>
              <w:ind w:left="129" w:hanging="180"/>
              <w:rPr>
                <w:b/>
                <w:sz w:val="18"/>
                <w:szCs w:val="18"/>
              </w:rPr>
            </w:pPr>
            <w:r w:rsidRPr="006D1C91">
              <w:rPr>
                <w:b/>
                <w:sz w:val="18"/>
                <w:szCs w:val="18"/>
              </w:rPr>
              <w:t>Food security</w:t>
            </w:r>
          </w:p>
          <w:p w:rsidR="006D1C91" w:rsidRPr="006D1C91" w:rsidRDefault="006D1C91" w:rsidP="006D1C91">
            <w:pPr>
              <w:pStyle w:val="ListParagraph"/>
              <w:numPr>
                <w:ilvl w:val="0"/>
                <w:numId w:val="7"/>
              </w:numPr>
              <w:spacing w:before="0"/>
              <w:ind w:left="129" w:hanging="180"/>
              <w:rPr>
                <w:b/>
                <w:sz w:val="18"/>
                <w:szCs w:val="18"/>
              </w:rPr>
            </w:pPr>
            <w:r w:rsidRPr="006D1C91">
              <w:rPr>
                <w:b/>
                <w:sz w:val="18"/>
                <w:szCs w:val="18"/>
              </w:rPr>
              <w:t>Enhanced income</w:t>
            </w:r>
          </w:p>
        </w:tc>
      </w:tr>
      <w:tr w:rsidR="006D1C91" w:rsidRPr="006D1C91" w:rsidTr="006D1C91">
        <w:tc>
          <w:tcPr>
            <w:tcW w:w="177" w:type="pct"/>
            <w:vMerge/>
            <w:tcBorders>
              <w:left w:val="single" w:sz="24" w:space="0" w:color="auto"/>
            </w:tcBorders>
            <w:shd w:val="pct5" w:color="auto" w:fill="auto"/>
          </w:tcPr>
          <w:p w:rsidR="006D1C91" w:rsidRPr="006D1C91" w:rsidRDefault="006D1C91" w:rsidP="00AC4E54">
            <w:pPr>
              <w:rPr>
                <w:sz w:val="18"/>
                <w:szCs w:val="18"/>
              </w:rPr>
            </w:pPr>
          </w:p>
        </w:tc>
        <w:tc>
          <w:tcPr>
            <w:tcW w:w="632" w:type="pct"/>
            <w:shd w:val="pct5" w:color="auto" w:fill="auto"/>
          </w:tcPr>
          <w:p w:rsidR="006D1C91" w:rsidRPr="006D1C91" w:rsidRDefault="006D1C91" w:rsidP="00AC4E54">
            <w:pPr>
              <w:rPr>
                <w:sz w:val="18"/>
                <w:szCs w:val="18"/>
              </w:rPr>
            </w:pPr>
            <w:r w:rsidRPr="006D1C91">
              <w:rPr>
                <w:b/>
                <w:sz w:val="18"/>
                <w:szCs w:val="18"/>
              </w:rPr>
              <w:t>Economic</w:t>
            </w:r>
          </w:p>
        </w:tc>
        <w:tc>
          <w:tcPr>
            <w:tcW w:w="1047" w:type="pct"/>
          </w:tcPr>
          <w:p w:rsidR="006D1C91" w:rsidRPr="006D1C91" w:rsidRDefault="006D1C91" w:rsidP="006D1C91">
            <w:pPr>
              <w:pStyle w:val="ListParagraph"/>
              <w:numPr>
                <w:ilvl w:val="0"/>
                <w:numId w:val="12"/>
              </w:numPr>
              <w:spacing w:before="0"/>
              <w:ind w:left="162" w:hanging="180"/>
              <w:rPr>
                <w:sz w:val="18"/>
                <w:szCs w:val="18"/>
              </w:rPr>
            </w:pPr>
            <w:r w:rsidRPr="006D1C91">
              <w:rPr>
                <w:sz w:val="18"/>
                <w:szCs w:val="18"/>
              </w:rPr>
              <w:t>Cluster of research protocols in relation to factor productivity, and market/value chain options</w:t>
            </w:r>
          </w:p>
        </w:tc>
        <w:tc>
          <w:tcPr>
            <w:tcW w:w="1059" w:type="pct"/>
            <w:gridSpan w:val="2"/>
          </w:tcPr>
          <w:p w:rsidR="006D1C91" w:rsidRPr="006D1C91" w:rsidRDefault="006D1C91" w:rsidP="006D1C91">
            <w:pPr>
              <w:pStyle w:val="ListParagraph"/>
              <w:numPr>
                <w:ilvl w:val="0"/>
                <w:numId w:val="13"/>
              </w:numPr>
              <w:spacing w:before="0"/>
              <w:ind w:left="174" w:hanging="174"/>
              <w:rPr>
                <w:sz w:val="18"/>
                <w:szCs w:val="18"/>
              </w:rPr>
            </w:pPr>
            <w:r w:rsidRPr="006D1C91">
              <w:rPr>
                <w:sz w:val="18"/>
                <w:szCs w:val="18"/>
              </w:rPr>
              <w:t>Innovations to increase factor productivity</w:t>
            </w:r>
          </w:p>
          <w:p w:rsidR="006D1C91" w:rsidRPr="006D1C91" w:rsidRDefault="006D1C91" w:rsidP="006D1C91">
            <w:pPr>
              <w:pStyle w:val="ListParagraph"/>
              <w:numPr>
                <w:ilvl w:val="0"/>
                <w:numId w:val="13"/>
              </w:numPr>
              <w:spacing w:before="0"/>
              <w:ind w:left="174" w:hanging="174"/>
              <w:rPr>
                <w:sz w:val="18"/>
                <w:szCs w:val="18"/>
              </w:rPr>
            </w:pPr>
            <w:r w:rsidRPr="006D1C91">
              <w:rPr>
                <w:sz w:val="18"/>
                <w:szCs w:val="18"/>
              </w:rPr>
              <w:t>Enhanced access to markets and value added options</w:t>
            </w:r>
          </w:p>
        </w:tc>
        <w:tc>
          <w:tcPr>
            <w:tcW w:w="1037" w:type="pct"/>
          </w:tcPr>
          <w:p w:rsidR="006D1C91" w:rsidRPr="006D1C91" w:rsidRDefault="006D1C91" w:rsidP="006D1C91">
            <w:pPr>
              <w:pStyle w:val="ListParagraph"/>
              <w:numPr>
                <w:ilvl w:val="0"/>
                <w:numId w:val="13"/>
              </w:numPr>
              <w:spacing w:before="0"/>
              <w:ind w:left="162" w:hanging="180"/>
              <w:rPr>
                <w:sz w:val="18"/>
                <w:szCs w:val="18"/>
              </w:rPr>
            </w:pPr>
            <w:r w:rsidRPr="006D1C91">
              <w:rPr>
                <w:sz w:val="18"/>
                <w:szCs w:val="18"/>
              </w:rPr>
              <w:t>More produce per unit of labor invested</w:t>
            </w:r>
          </w:p>
          <w:p w:rsidR="006D1C91" w:rsidRPr="006D1C91" w:rsidRDefault="006D1C91" w:rsidP="006D1C91">
            <w:pPr>
              <w:pStyle w:val="ListParagraph"/>
              <w:numPr>
                <w:ilvl w:val="0"/>
                <w:numId w:val="13"/>
              </w:numPr>
              <w:spacing w:before="0"/>
              <w:ind w:left="162" w:hanging="180"/>
              <w:rPr>
                <w:sz w:val="18"/>
                <w:szCs w:val="18"/>
              </w:rPr>
            </w:pPr>
            <w:r w:rsidRPr="006D1C91">
              <w:rPr>
                <w:sz w:val="18"/>
                <w:szCs w:val="18"/>
              </w:rPr>
              <w:t>More revenue per unit of produce sold</w:t>
            </w:r>
          </w:p>
        </w:tc>
        <w:tc>
          <w:tcPr>
            <w:tcW w:w="1048" w:type="pct"/>
            <w:tcBorders>
              <w:right w:val="single" w:sz="24" w:space="0" w:color="auto"/>
            </w:tcBorders>
          </w:tcPr>
          <w:p w:rsidR="006D1C91" w:rsidRPr="006D1C91" w:rsidRDefault="006D1C91" w:rsidP="006D1C91">
            <w:pPr>
              <w:pStyle w:val="ListParagraph"/>
              <w:numPr>
                <w:ilvl w:val="0"/>
                <w:numId w:val="13"/>
              </w:numPr>
              <w:spacing w:before="0"/>
              <w:ind w:left="196" w:hanging="196"/>
              <w:rPr>
                <w:b/>
                <w:sz w:val="18"/>
                <w:szCs w:val="18"/>
              </w:rPr>
            </w:pPr>
            <w:r w:rsidRPr="006D1C91">
              <w:rPr>
                <w:b/>
                <w:sz w:val="18"/>
                <w:szCs w:val="18"/>
              </w:rPr>
              <w:t>Poverty reduction</w:t>
            </w:r>
          </w:p>
        </w:tc>
      </w:tr>
      <w:tr w:rsidR="006D1C91" w:rsidRPr="006D1C91" w:rsidTr="006D1C91">
        <w:tc>
          <w:tcPr>
            <w:tcW w:w="177" w:type="pct"/>
            <w:vMerge/>
            <w:tcBorders>
              <w:left w:val="single" w:sz="24" w:space="0" w:color="auto"/>
            </w:tcBorders>
            <w:shd w:val="pct5" w:color="auto" w:fill="auto"/>
          </w:tcPr>
          <w:p w:rsidR="006D1C91" w:rsidRPr="006D1C91" w:rsidRDefault="006D1C91" w:rsidP="00AC4E54">
            <w:pPr>
              <w:rPr>
                <w:sz w:val="18"/>
                <w:szCs w:val="18"/>
              </w:rPr>
            </w:pPr>
          </w:p>
        </w:tc>
        <w:tc>
          <w:tcPr>
            <w:tcW w:w="632" w:type="pct"/>
            <w:shd w:val="pct5" w:color="auto" w:fill="auto"/>
          </w:tcPr>
          <w:p w:rsidR="006D1C91" w:rsidRPr="006D1C91" w:rsidRDefault="006D1C91" w:rsidP="00AC4E54">
            <w:pPr>
              <w:rPr>
                <w:sz w:val="18"/>
                <w:szCs w:val="18"/>
              </w:rPr>
            </w:pPr>
            <w:r w:rsidRPr="006D1C91">
              <w:rPr>
                <w:b/>
                <w:sz w:val="18"/>
                <w:szCs w:val="18"/>
              </w:rPr>
              <w:t>Environ-</w:t>
            </w:r>
            <w:proofErr w:type="spellStart"/>
            <w:r w:rsidRPr="006D1C91">
              <w:rPr>
                <w:b/>
                <w:sz w:val="18"/>
                <w:szCs w:val="18"/>
              </w:rPr>
              <w:t>ment</w:t>
            </w:r>
            <w:proofErr w:type="spellEnd"/>
            <w:r w:rsidRPr="006D1C91">
              <w:rPr>
                <w:b/>
                <w:sz w:val="18"/>
                <w:szCs w:val="18"/>
              </w:rPr>
              <w:t xml:space="preserve"> (NRM)</w:t>
            </w:r>
          </w:p>
        </w:tc>
        <w:tc>
          <w:tcPr>
            <w:tcW w:w="1047" w:type="pct"/>
          </w:tcPr>
          <w:p w:rsidR="006D1C91" w:rsidRPr="006D1C91" w:rsidRDefault="006D1C91" w:rsidP="006D1C91">
            <w:pPr>
              <w:pStyle w:val="ListParagraph"/>
              <w:numPr>
                <w:ilvl w:val="0"/>
                <w:numId w:val="12"/>
              </w:numPr>
              <w:spacing w:before="0"/>
              <w:ind w:left="162" w:hanging="180"/>
              <w:rPr>
                <w:sz w:val="18"/>
                <w:szCs w:val="18"/>
              </w:rPr>
            </w:pPr>
            <w:r w:rsidRPr="006D1C91">
              <w:rPr>
                <w:sz w:val="18"/>
                <w:szCs w:val="18"/>
              </w:rPr>
              <w:t>Cluster of research protocols in relation to NRM</w:t>
            </w:r>
          </w:p>
        </w:tc>
        <w:tc>
          <w:tcPr>
            <w:tcW w:w="1059" w:type="pct"/>
            <w:gridSpan w:val="2"/>
          </w:tcPr>
          <w:p w:rsidR="006D1C91" w:rsidRPr="006D1C91" w:rsidRDefault="006D1C91" w:rsidP="006D1C91">
            <w:pPr>
              <w:pStyle w:val="ListParagraph"/>
              <w:numPr>
                <w:ilvl w:val="0"/>
                <w:numId w:val="12"/>
              </w:numPr>
              <w:spacing w:before="0"/>
              <w:ind w:left="174" w:hanging="174"/>
              <w:rPr>
                <w:sz w:val="18"/>
                <w:szCs w:val="18"/>
              </w:rPr>
            </w:pPr>
            <w:r w:rsidRPr="006D1C91">
              <w:rPr>
                <w:sz w:val="18"/>
                <w:szCs w:val="18"/>
              </w:rPr>
              <w:t>Innovations to increase nutrient balances, biodiversity, and tree cover on farms</w:t>
            </w:r>
          </w:p>
        </w:tc>
        <w:tc>
          <w:tcPr>
            <w:tcW w:w="1037" w:type="pct"/>
          </w:tcPr>
          <w:p w:rsidR="006D1C91" w:rsidRPr="006D1C91" w:rsidRDefault="006D1C91" w:rsidP="006D1C91">
            <w:pPr>
              <w:pStyle w:val="ListParagraph"/>
              <w:numPr>
                <w:ilvl w:val="0"/>
                <w:numId w:val="12"/>
              </w:numPr>
              <w:spacing w:before="0"/>
              <w:ind w:left="196" w:hanging="196"/>
              <w:rPr>
                <w:sz w:val="18"/>
                <w:szCs w:val="18"/>
              </w:rPr>
            </w:pPr>
            <w:r w:rsidRPr="006D1C91">
              <w:rPr>
                <w:sz w:val="18"/>
                <w:szCs w:val="18"/>
              </w:rPr>
              <w:t>Improved soil fertility</w:t>
            </w:r>
          </w:p>
          <w:p w:rsidR="006D1C91" w:rsidRPr="006D1C91" w:rsidRDefault="006D1C91" w:rsidP="006D1C91">
            <w:pPr>
              <w:pStyle w:val="ListParagraph"/>
              <w:numPr>
                <w:ilvl w:val="0"/>
                <w:numId w:val="12"/>
              </w:numPr>
              <w:spacing w:before="0"/>
              <w:ind w:left="196" w:hanging="196"/>
              <w:rPr>
                <w:sz w:val="18"/>
                <w:szCs w:val="18"/>
              </w:rPr>
            </w:pPr>
            <w:r w:rsidRPr="006D1C91">
              <w:rPr>
                <w:sz w:val="18"/>
                <w:szCs w:val="18"/>
              </w:rPr>
              <w:t>Reduced GHG emissions</w:t>
            </w:r>
          </w:p>
        </w:tc>
        <w:tc>
          <w:tcPr>
            <w:tcW w:w="1048" w:type="pct"/>
            <w:tcBorders>
              <w:right w:val="single" w:sz="24" w:space="0" w:color="auto"/>
            </w:tcBorders>
          </w:tcPr>
          <w:p w:rsidR="006D1C91" w:rsidRPr="006D1C91" w:rsidRDefault="006D1C91" w:rsidP="006D1C91">
            <w:pPr>
              <w:pStyle w:val="ListParagraph"/>
              <w:numPr>
                <w:ilvl w:val="0"/>
                <w:numId w:val="12"/>
              </w:numPr>
              <w:spacing w:before="0"/>
              <w:ind w:left="196" w:hanging="196"/>
              <w:rPr>
                <w:b/>
                <w:sz w:val="18"/>
                <w:szCs w:val="18"/>
              </w:rPr>
            </w:pPr>
            <w:r w:rsidRPr="006D1C91">
              <w:rPr>
                <w:b/>
                <w:sz w:val="18"/>
                <w:szCs w:val="18"/>
              </w:rPr>
              <w:t xml:space="preserve">Resilience of production </w:t>
            </w:r>
          </w:p>
          <w:p w:rsidR="006D1C91" w:rsidRPr="006D1C91" w:rsidRDefault="006D1C91" w:rsidP="006D1C91">
            <w:pPr>
              <w:pStyle w:val="ListParagraph"/>
              <w:numPr>
                <w:ilvl w:val="0"/>
                <w:numId w:val="12"/>
              </w:numPr>
              <w:spacing w:before="0"/>
              <w:ind w:left="196" w:hanging="196"/>
              <w:rPr>
                <w:b/>
                <w:sz w:val="18"/>
                <w:szCs w:val="18"/>
              </w:rPr>
            </w:pPr>
            <w:r w:rsidRPr="006D1C91">
              <w:rPr>
                <w:b/>
                <w:sz w:val="18"/>
                <w:szCs w:val="18"/>
              </w:rPr>
              <w:t>Climate change mitigation</w:t>
            </w:r>
          </w:p>
        </w:tc>
      </w:tr>
      <w:tr w:rsidR="006D1C91" w:rsidRPr="006D1C91" w:rsidTr="006D1C91">
        <w:tc>
          <w:tcPr>
            <w:tcW w:w="177" w:type="pct"/>
            <w:vMerge/>
            <w:tcBorders>
              <w:left w:val="single" w:sz="24" w:space="0" w:color="auto"/>
            </w:tcBorders>
            <w:shd w:val="pct5" w:color="auto" w:fill="auto"/>
          </w:tcPr>
          <w:p w:rsidR="006D1C91" w:rsidRPr="006D1C91" w:rsidRDefault="006D1C91" w:rsidP="00AC4E54">
            <w:pPr>
              <w:rPr>
                <w:sz w:val="18"/>
                <w:szCs w:val="18"/>
              </w:rPr>
            </w:pPr>
          </w:p>
        </w:tc>
        <w:tc>
          <w:tcPr>
            <w:tcW w:w="632" w:type="pct"/>
            <w:tcBorders>
              <w:bottom w:val="single" w:sz="8" w:space="0" w:color="auto"/>
            </w:tcBorders>
            <w:shd w:val="pct5" w:color="auto" w:fill="auto"/>
          </w:tcPr>
          <w:p w:rsidR="006D1C91" w:rsidRPr="006D1C91" w:rsidRDefault="006D1C91" w:rsidP="00AC4E54">
            <w:pPr>
              <w:rPr>
                <w:sz w:val="18"/>
                <w:szCs w:val="18"/>
              </w:rPr>
            </w:pPr>
            <w:r w:rsidRPr="006D1C91">
              <w:rPr>
                <w:b/>
                <w:sz w:val="18"/>
                <w:szCs w:val="18"/>
              </w:rPr>
              <w:t>Social</w:t>
            </w:r>
          </w:p>
        </w:tc>
        <w:tc>
          <w:tcPr>
            <w:tcW w:w="1047" w:type="pct"/>
            <w:tcBorders>
              <w:bottom w:val="single" w:sz="8" w:space="0" w:color="auto"/>
            </w:tcBorders>
          </w:tcPr>
          <w:p w:rsidR="006D1C91" w:rsidRPr="006D1C91" w:rsidRDefault="006D1C91" w:rsidP="006D1C91">
            <w:pPr>
              <w:pStyle w:val="ListParagraph"/>
              <w:numPr>
                <w:ilvl w:val="0"/>
                <w:numId w:val="14"/>
              </w:numPr>
              <w:spacing w:before="0"/>
              <w:ind w:left="162" w:hanging="162"/>
              <w:rPr>
                <w:sz w:val="18"/>
                <w:szCs w:val="18"/>
              </w:rPr>
            </w:pPr>
            <w:r w:rsidRPr="006D1C91">
              <w:rPr>
                <w:sz w:val="18"/>
                <w:szCs w:val="18"/>
              </w:rPr>
              <w:t>Cluster of research protocols in relation to social capital and collective action</w:t>
            </w:r>
          </w:p>
        </w:tc>
        <w:tc>
          <w:tcPr>
            <w:tcW w:w="1059" w:type="pct"/>
            <w:gridSpan w:val="2"/>
            <w:tcBorders>
              <w:bottom w:val="single" w:sz="8" w:space="0" w:color="auto"/>
            </w:tcBorders>
          </w:tcPr>
          <w:p w:rsidR="006D1C91" w:rsidRPr="006D1C91" w:rsidRDefault="006D1C91" w:rsidP="006D1C91">
            <w:pPr>
              <w:pStyle w:val="ListParagraph"/>
              <w:numPr>
                <w:ilvl w:val="0"/>
                <w:numId w:val="14"/>
              </w:numPr>
              <w:spacing w:before="0"/>
              <w:ind w:left="174" w:hanging="174"/>
              <w:rPr>
                <w:sz w:val="18"/>
                <w:szCs w:val="18"/>
              </w:rPr>
            </w:pPr>
            <w:r w:rsidRPr="006D1C91">
              <w:rPr>
                <w:sz w:val="18"/>
                <w:szCs w:val="18"/>
              </w:rPr>
              <w:t xml:space="preserve">Innovations for collective action in the area of NRM, market access, </w:t>
            </w:r>
            <w:proofErr w:type="spellStart"/>
            <w:r w:rsidRPr="006D1C91">
              <w:rPr>
                <w:sz w:val="18"/>
                <w:szCs w:val="18"/>
              </w:rPr>
              <w:t>etc</w:t>
            </w:r>
            <w:proofErr w:type="spellEnd"/>
          </w:p>
        </w:tc>
        <w:tc>
          <w:tcPr>
            <w:tcW w:w="1037" w:type="pct"/>
            <w:tcBorders>
              <w:bottom w:val="single" w:sz="8" w:space="0" w:color="auto"/>
            </w:tcBorders>
          </w:tcPr>
          <w:p w:rsidR="006D1C91" w:rsidRPr="006D1C91" w:rsidRDefault="006D1C91" w:rsidP="006D1C91">
            <w:pPr>
              <w:pStyle w:val="ListParagraph"/>
              <w:numPr>
                <w:ilvl w:val="0"/>
                <w:numId w:val="14"/>
              </w:numPr>
              <w:spacing w:before="0"/>
              <w:ind w:left="196" w:hanging="196"/>
              <w:rPr>
                <w:sz w:val="18"/>
                <w:szCs w:val="18"/>
              </w:rPr>
            </w:pPr>
            <w:r w:rsidRPr="006D1C91">
              <w:rPr>
                <w:sz w:val="18"/>
                <w:szCs w:val="18"/>
              </w:rPr>
              <w:t>More engagement of more farming families in activities for improved livelihoods</w:t>
            </w:r>
          </w:p>
        </w:tc>
        <w:tc>
          <w:tcPr>
            <w:tcW w:w="1048" w:type="pct"/>
            <w:tcBorders>
              <w:bottom w:val="single" w:sz="8" w:space="0" w:color="auto"/>
              <w:right w:val="single" w:sz="24" w:space="0" w:color="auto"/>
            </w:tcBorders>
          </w:tcPr>
          <w:p w:rsidR="006D1C91" w:rsidRPr="006D1C91" w:rsidRDefault="006D1C91" w:rsidP="006D1C91">
            <w:pPr>
              <w:pStyle w:val="ListParagraph"/>
              <w:numPr>
                <w:ilvl w:val="0"/>
                <w:numId w:val="14"/>
              </w:numPr>
              <w:spacing w:before="0"/>
              <w:ind w:left="196" w:hanging="196"/>
              <w:rPr>
                <w:b/>
                <w:sz w:val="18"/>
                <w:szCs w:val="18"/>
              </w:rPr>
            </w:pPr>
            <w:r w:rsidRPr="006D1C91">
              <w:rPr>
                <w:b/>
                <w:sz w:val="18"/>
                <w:szCs w:val="18"/>
              </w:rPr>
              <w:t>Enhanced social capital, reduced conflict</w:t>
            </w:r>
          </w:p>
        </w:tc>
      </w:tr>
      <w:tr w:rsidR="006D1C91" w:rsidRPr="006D1C91" w:rsidTr="006D1C91">
        <w:tc>
          <w:tcPr>
            <w:tcW w:w="177" w:type="pct"/>
            <w:vMerge/>
            <w:tcBorders>
              <w:left w:val="single" w:sz="24" w:space="0" w:color="auto"/>
              <w:bottom w:val="single" w:sz="24" w:space="0" w:color="auto"/>
            </w:tcBorders>
            <w:shd w:val="pct5" w:color="auto" w:fill="auto"/>
          </w:tcPr>
          <w:p w:rsidR="006D1C91" w:rsidRPr="006D1C91" w:rsidRDefault="006D1C91" w:rsidP="00AC4E54">
            <w:pPr>
              <w:rPr>
                <w:sz w:val="18"/>
                <w:szCs w:val="18"/>
              </w:rPr>
            </w:pPr>
          </w:p>
        </w:tc>
        <w:tc>
          <w:tcPr>
            <w:tcW w:w="632" w:type="pct"/>
            <w:tcBorders>
              <w:top w:val="single" w:sz="8" w:space="0" w:color="auto"/>
              <w:bottom w:val="single" w:sz="24" w:space="0" w:color="auto"/>
              <w:right w:val="single" w:sz="8" w:space="0" w:color="auto"/>
            </w:tcBorders>
            <w:shd w:val="pct5" w:color="auto" w:fill="auto"/>
          </w:tcPr>
          <w:p w:rsidR="006D1C91" w:rsidRPr="006D1C91" w:rsidRDefault="006D1C91" w:rsidP="00AC4E54">
            <w:pPr>
              <w:rPr>
                <w:sz w:val="18"/>
                <w:szCs w:val="18"/>
              </w:rPr>
            </w:pPr>
            <w:r w:rsidRPr="006D1C91">
              <w:rPr>
                <w:b/>
                <w:sz w:val="18"/>
                <w:szCs w:val="18"/>
              </w:rPr>
              <w:t>Human (nutrition)</w:t>
            </w:r>
          </w:p>
        </w:tc>
        <w:tc>
          <w:tcPr>
            <w:tcW w:w="1047" w:type="pct"/>
            <w:tcBorders>
              <w:top w:val="single" w:sz="8" w:space="0" w:color="auto"/>
              <w:left w:val="single" w:sz="8" w:space="0" w:color="auto"/>
              <w:bottom w:val="single" w:sz="24" w:space="0" w:color="auto"/>
              <w:right w:val="single" w:sz="8" w:space="0" w:color="auto"/>
            </w:tcBorders>
          </w:tcPr>
          <w:p w:rsidR="006D1C91" w:rsidRPr="006D1C91" w:rsidRDefault="006D1C91" w:rsidP="006D1C91">
            <w:pPr>
              <w:pStyle w:val="ListParagraph"/>
              <w:numPr>
                <w:ilvl w:val="0"/>
                <w:numId w:val="11"/>
              </w:numPr>
              <w:spacing w:before="0"/>
              <w:ind w:left="129" w:hanging="180"/>
              <w:rPr>
                <w:sz w:val="18"/>
                <w:szCs w:val="18"/>
              </w:rPr>
            </w:pPr>
            <w:r w:rsidRPr="006D1C91">
              <w:rPr>
                <w:sz w:val="18"/>
                <w:szCs w:val="18"/>
              </w:rPr>
              <w:t>Cluster of research protocols in relation to nutrition</w:t>
            </w:r>
          </w:p>
        </w:tc>
        <w:tc>
          <w:tcPr>
            <w:tcW w:w="1059" w:type="pct"/>
            <w:gridSpan w:val="2"/>
            <w:tcBorders>
              <w:top w:val="single" w:sz="8" w:space="0" w:color="auto"/>
              <w:left w:val="single" w:sz="8" w:space="0" w:color="auto"/>
              <w:bottom w:val="single" w:sz="24" w:space="0" w:color="auto"/>
              <w:right w:val="single" w:sz="8" w:space="0" w:color="auto"/>
            </w:tcBorders>
          </w:tcPr>
          <w:p w:rsidR="006D1C91" w:rsidRPr="006D1C91" w:rsidRDefault="006D1C91" w:rsidP="006D1C91">
            <w:pPr>
              <w:pStyle w:val="ListParagraph"/>
              <w:numPr>
                <w:ilvl w:val="0"/>
                <w:numId w:val="10"/>
              </w:numPr>
              <w:spacing w:before="0"/>
              <w:ind w:left="129" w:hanging="180"/>
              <w:rPr>
                <w:sz w:val="18"/>
                <w:szCs w:val="18"/>
              </w:rPr>
            </w:pPr>
            <w:r w:rsidRPr="006D1C91">
              <w:rPr>
                <w:sz w:val="18"/>
                <w:szCs w:val="18"/>
              </w:rPr>
              <w:t>Nutritionally optimized crop combinations</w:t>
            </w:r>
          </w:p>
        </w:tc>
        <w:tc>
          <w:tcPr>
            <w:tcW w:w="1037" w:type="pct"/>
            <w:tcBorders>
              <w:top w:val="single" w:sz="8" w:space="0" w:color="auto"/>
              <w:left w:val="single" w:sz="8" w:space="0" w:color="auto"/>
              <w:bottom w:val="single" w:sz="24" w:space="0" w:color="auto"/>
              <w:right w:val="single" w:sz="8" w:space="0" w:color="auto"/>
            </w:tcBorders>
          </w:tcPr>
          <w:p w:rsidR="006D1C91" w:rsidRPr="006D1C91" w:rsidRDefault="006D1C91" w:rsidP="006D1C91">
            <w:pPr>
              <w:pStyle w:val="ListParagraph"/>
              <w:numPr>
                <w:ilvl w:val="0"/>
                <w:numId w:val="9"/>
              </w:numPr>
              <w:spacing w:before="0"/>
              <w:ind w:left="129" w:hanging="180"/>
              <w:rPr>
                <w:sz w:val="18"/>
                <w:szCs w:val="18"/>
              </w:rPr>
            </w:pPr>
            <w:r w:rsidRPr="006D1C91">
              <w:rPr>
                <w:sz w:val="18"/>
                <w:szCs w:val="18"/>
              </w:rPr>
              <w:t>More protein/vitamin intake</w:t>
            </w:r>
          </w:p>
          <w:p w:rsidR="006D1C91" w:rsidRPr="006D1C91" w:rsidRDefault="006D1C91" w:rsidP="006D1C91">
            <w:pPr>
              <w:pStyle w:val="ListParagraph"/>
              <w:numPr>
                <w:ilvl w:val="0"/>
                <w:numId w:val="9"/>
              </w:numPr>
              <w:spacing w:before="0"/>
              <w:ind w:left="129" w:hanging="180"/>
              <w:rPr>
                <w:sz w:val="18"/>
                <w:szCs w:val="18"/>
              </w:rPr>
            </w:pPr>
            <w:r w:rsidRPr="006D1C91">
              <w:rPr>
                <w:sz w:val="18"/>
                <w:szCs w:val="18"/>
              </w:rPr>
              <w:t>More control by women over diets</w:t>
            </w:r>
          </w:p>
        </w:tc>
        <w:tc>
          <w:tcPr>
            <w:tcW w:w="1048" w:type="pct"/>
            <w:tcBorders>
              <w:top w:val="single" w:sz="8" w:space="0" w:color="auto"/>
              <w:left w:val="single" w:sz="8" w:space="0" w:color="auto"/>
              <w:bottom w:val="single" w:sz="24" w:space="0" w:color="auto"/>
              <w:right w:val="single" w:sz="24" w:space="0" w:color="auto"/>
            </w:tcBorders>
          </w:tcPr>
          <w:p w:rsidR="006D1C91" w:rsidRPr="006D1C91" w:rsidRDefault="006D1C91" w:rsidP="006D1C91">
            <w:pPr>
              <w:pStyle w:val="ListParagraph"/>
              <w:numPr>
                <w:ilvl w:val="0"/>
                <w:numId w:val="9"/>
              </w:numPr>
              <w:spacing w:before="0"/>
              <w:ind w:left="129" w:hanging="180"/>
              <w:rPr>
                <w:b/>
                <w:sz w:val="18"/>
                <w:szCs w:val="18"/>
              </w:rPr>
            </w:pPr>
            <w:r w:rsidRPr="006D1C91">
              <w:rPr>
                <w:b/>
                <w:sz w:val="18"/>
                <w:szCs w:val="18"/>
              </w:rPr>
              <w:t>Improved woman and child nutrition</w:t>
            </w:r>
          </w:p>
        </w:tc>
      </w:tr>
      <w:tr w:rsidR="006D1C91" w:rsidRPr="006D1C91" w:rsidTr="006D1C91">
        <w:tc>
          <w:tcPr>
            <w:tcW w:w="177" w:type="pct"/>
            <w:vMerge w:val="restart"/>
            <w:tcBorders>
              <w:top w:val="single" w:sz="24" w:space="0" w:color="auto"/>
              <w:left w:val="single" w:sz="24" w:space="0" w:color="auto"/>
            </w:tcBorders>
            <w:shd w:val="pct5" w:color="auto" w:fill="auto"/>
            <w:textDirection w:val="btLr"/>
          </w:tcPr>
          <w:p w:rsidR="006D1C91" w:rsidRPr="006D1C91" w:rsidRDefault="006D1C91" w:rsidP="00AC4E54">
            <w:pPr>
              <w:ind w:right="113"/>
              <w:jc w:val="center"/>
              <w:rPr>
                <w:b/>
                <w:sz w:val="18"/>
                <w:szCs w:val="18"/>
              </w:rPr>
            </w:pPr>
            <w:r w:rsidRPr="006D1C91">
              <w:rPr>
                <w:b/>
                <w:sz w:val="18"/>
                <w:szCs w:val="18"/>
              </w:rPr>
              <w:t>Cross-cutting</w:t>
            </w:r>
          </w:p>
        </w:tc>
        <w:tc>
          <w:tcPr>
            <w:tcW w:w="632" w:type="pct"/>
            <w:tcBorders>
              <w:top w:val="single" w:sz="24" w:space="0" w:color="auto"/>
            </w:tcBorders>
            <w:shd w:val="pct5" w:color="auto" w:fill="auto"/>
          </w:tcPr>
          <w:p w:rsidR="006D1C91" w:rsidRPr="006D1C91" w:rsidRDefault="006D1C91" w:rsidP="00AC4E54">
            <w:pPr>
              <w:rPr>
                <w:b/>
                <w:sz w:val="18"/>
                <w:szCs w:val="18"/>
              </w:rPr>
            </w:pPr>
            <w:r w:rsidRPr="006D1C91">
              <w:rPr>
                <w:b/>
                <w:sz w:val="18"/>
                <w:szCs w:val="18"/>
              </w:rPr>
              <w:t>Trade-off analysis</w:t>
            </w:r>
          </w:p>
        </w:tc>
        <w:tc>
          <w:tcPr>
            <w:tcW w:w="1047" w:type="pct"/>
            <w:tcBorders>
              <w:top w:val="single" w:sz="24" w:space="0" w:color="auto"/>
            </w:tcBorders>
          </w:tcPr>
          <w:p w:rsidR="006D1C91" w:rsidRPr="006D1C91" w:rsidRDefault="006D1C91" w:rsidP="006D1C91">
            <w:pPr>
              <w:pStyle w:val="ListParagraph"/>
              <w:numPr>
                <w:ilvl w:val="0"/>
                <w:numId w:val="15"/>
              </w:numPr>
              <w:spacing w:before="0"/>
              <w:ind w:left="162" w:hanging="180"/>
              <w:rPr>
                <w:sz w:val="18"/>
                <w:szCs w:val="18"/>
              </w:rPr>
            </w:pPr>
            <w:r w:rsidRPr="006D1C91">
              <w:rPr>
                <w:sz w:val="18"/>
                <w:szCs w:val="18"/>
              </w:rPr>
              <w:t>Tools for farming system and trade-off analysis</w:t>
            </w:r>
          </w:p>
        </w:tc>
        <w:tc>
          <w:tcPr>
            <w:tcW w:w="1059" w:type="pct"/>
            <w:gridSpan w:val="2"/>
            <w:tcBorders>
              <w:top w:val="single" w:sz="24" w:space="0" w:color="auto"/>
            </w:tcBorders>
          </w:tcPr>
          <w:p w:rsidR="006D1C91" w:rsidRPr="006D1C91" w:rsidRDefault="006D1C91" w:rsidP="006D1C91">
            <w:pPr>
              <w:pStyle w:val="ListParagraph"/>
              <w:numPr>
                <w:ilvl w:val="0"/>
                <w:numId w:val="15"/>
              </w:numPr>
              <w:spacing w:before="0"/>
              <w:ind w:left="174" w:hanging="174"/>
              <w:rPr>
                <w:sz w:val="18"/>
                <w:szCs w:val="18"/>
              </w:rPr>
            </w:pPr>
            <w:r w:rsidRPr="006D1C91">
              <w:rPr>
                <w:sz w:val="18"/>
                <w:szCs w:val="18"/>
              </w:rPr>
              <w:t>Quantification of trade-offs</w:t>
            </w:r>
          </w:p>
        </w:tc>
        <w:tc>
          <w:tcPr>
            <w:tcW w:w="1037" w:type="pct"/>
            <w:tcBorders>
              <w:top w:val="single" w:sz="24" w:space="0" w:color="auto"/>
            </w:tcBorders>
          </w:tcPr>
          <w:p w:rsidR="006D1C91" w:rsidRPr="006D1C91" w:rsidRDefault="006D1C91" w:rsidP="006D1C91">
            <w:pPr>
              <w:pStyle w:val="ListParagraph"/>
              <w:numPr>
                <w:ilvl w:val="0"/>
                <w:numId w:val="9"/>
              </w:numPr>
              <w:spacing w:before="0"/>
              <w:ind w:left="162" w:hanging="162"/>
              <w:rPr>
                <w:sz w:val="18"/>
                <w:szCs w:val="18"/>
              </w:rPr>
            </w:pPr>
            <w:r w:rsidRPr="006D1C91">
              <w:rPr>
                <w:sz w:val="18"/>
                <w:szCs w:val="18"/>
              </w:rPr>
              <w:t>Enhanced synergies between interventions</w:t>
            </w:r>
          </w:p>
        </w:tc>
        <w:tc>
          <w:tcPr>
            <w:tcW w:w="1048" w:type="pct"/>
            <w:tcBorders>
              <w:top w:val="single" w:sz="24" w:space="0" w:color="auto"/>
              <w:right w:val="single" w:sz="24" w:space="0" w:color="auto"/>
            </w:tcBorders>
          </w:tcPr>
          <w:p w:rsidR="006D1C91" w:rsidRPr="006D1C91" w:rsidRDefault="006D1C91" w:rsidP="006D1C91">
            <w:pPr>
              <w:pStyle w:val="ListParagraph"/>
              <w:numPr>
                <w:ilvl w:val="0"/>
                <w:numId w:val="15"/>
              </w:numPr>
              <w:spacing w:before="0"/>
              <w:ind w:left="196" w:hanging="196"/>
              <w:rPr>
                <w:sz w:val="18"/>
                <w:szCs w:val="18"/>
              </w:rPr>
            </w:pPr>
            <w:r w:rsidRPr="006D1C91">
              <w:rPr>
                <w:sz w:val="18"/>
                <w:szCs w:val="18"/>
              </w:rPr>
              <w:t>More efficient delivery of development impacts</w:t>
            </w:r>
          </w:p>
        </w:tc>
      </w:tr>
      <w:tr w:rsidR="006D1C91" w:rsidRPr="006D1C91" w:rsidTr="006D1C91">
        <w:tc>
          <w:tcPr>
            <w:tcW w:w="177" w:type="pct"/>
            <w:vMerge/>
            <w:tcBorders>
              <w:left w:val="single" w:sz="24" w:space="0" w:color="auto"/>
              <w:bottom w:val="single" w:sz="24" w:space="0" w:color="auto"/>
            </w:tcBorders>
            <w:shd w:val="pct5" w:color="auto" w:fill="auto"/>
          </w:tcPr>
          <w:p w:rsidR="006D1C91" w:rsidRPr="006D1C91" w:rsidRDefault="006D1C91" w:rsidP="00AC4E54">
            <w:pPr>
              <w:rPr>
                <w:b/>
                <w:sz w:val="18"/>
                <w:szCs w:val="18"/>
              </w:rPr>
            </w:pPr>
          </w:p>
        </w:tc>
        <w:tc>
          <w:tcPr>
            <w:tcW w:w="632" w:type="pct"/>
            <w:tcBorders>
              <w:bottom w:val="single" w:sz="24" w:space="0" w:color="auto"/>
            </w:tcBorders>
            <w:shd w:val="pct5" w:color="auto" w:fill="auto"/>
          </w:tcPr>
          <w:p w:rsidR="006D1C91" w:rsidRPr="006D1C91" w:rsidRDefault="006D1C91" w:rsidP="00AC4E54">
            <w:pPr>
              <w:rPr>
                <w:b/>
                <w:sz w:val="18"/>
                <w:szCs w:val="18"/>
              </w:rPr>
            </w:pPr>
            <w:r w:rsidRPr="006D1C91">
              <w:rPr>
                <w:b/>
                <w:sz w:val="18"/>
                <w:szCs w:val="18"/>
              </w:rPr>
              <w:t>Typologies and equity</w:t>
            </w:r>
          </w:p>
        </w:tc>
        <w:tc>
          <w:tcPr>
            <w:tcW w:w="1047" w:type="pct"/>
            <w:tcBorders>
              <w:bottom w:val="single" w:sz="24" w:space="0" w:color="auto"/>
            </w:tcBorders>
          </w:tcPr>
          <w:p w:rsidR="006D1C91" w:rsidRPr="006D1C91" w:rsidRDefault="006D1C91" w:rsidP="006D1C91">
            <w:pPr>
              <w:pStyle w:val="ListParagraph"/>
              <w:numPr>
                <w:ilvl w:val="0"/>
                <w:numId w:val="15"/>
              </w:numPr>
              <w:spacing w:before="0"/>
              <w:ind w:left="162" w:hanging="180"/>
              <w:rPr>
                <w:sz w:val="18"/>
                <w:szCs w:val="18"/>
              </w:rPr>
            </w:pPr>
            <w:r w:rsidRPr="006D1C91">
              <w:rPr>
                <w:sz w:val="18"/>
                <w:szCs w:val="18"/>
              </w:rPr>
              <w:t>Tools for inclusive experimentation</w:t>
            </w:r>
          </w:p>
        </w:tc>
        <w:tc>
          <w:tcPr>
            <w:tcW w:w="1059" w:type="pct"/>
            <w:gridSpan w:val="2"/>
            <w:tcBorders>
              <w:bottom w:val="single" w:sz="24" w:space="0" w:color="auto"/>
            </w:tcBorders>
          </w:tcPr>
          <w:p w:rsidR="006D1C91" w:rsidRPr="006D1C91" w:rsidRDefault="006D1C91" w:rsidP="006D1C91">
            <w:pPr>
              <w:pStyle w:val="ListParagraph"/>
              <w:numPr>
                <w:ilvl w:val="0"/>
                <w:numId w:val="15"/>
              </w:numPr>
              <w:spacing w:before="0"/>
              <w:ind w:left="174" w:hanging="174"/>
              <w:rPr>
                <w:sz w:val="18"/>
                <w:szCs w:val="18"/>
              </w:rPr>
            </w:pPr>
            <w:r w:rsidRPr="006D1C91">
              <w:rPr>
                <w:sz w:val="18"/>
                <w:szCs w:val="18"/>
              </w:rPr>
              <w:t>Inclusive models for technology development</w:t>
            </w:r>
          </w:p>
        </w:tc>
        <w:tc>
          <w:tcPr>
            <w:tcW w:w="1037" w:type="pct"/>
            <w:tcBorders>
              <w:bottom w:val="single" w:sz="24" w:space="0" w:color="auto"/>
            </w:tcBorders>
          </w:tcPr>
          <w:p w:rsidR="006D1C91" w:rsidRPr="006D1C91" w:rsidRDefault="006D1C91" w:rsidP="006D1C91">
            <w:pPr>
              <w:pStyle w:val="ListParagraph"/>
              <w:numPr>
                <w:ilvl w:val="0"/>
                <w:numId w:val="9"/>
              </w:numPr>
              <w:spacing w:before="0"/>
              <w:ind w:left="162" w:hanging="162"/>
              <w:rPr>
                <w:sz w:val="18"/>
                <w:szCs w:val="18"/>
              </w:rPr>
            </w:pPr>
            <w:r w:rsidRPr="006D1C91">
              <w:rPr>
                <w:sz w:val="18"/>
                <w:szCs w:val="18"/>
              </w:rPr>
              <w:t>Broad engagement of major typologies</w:t>
            </w:r>
          </w:p>
        </w:tc>
        <w:tc>
          <w:tcPr>
            <w:tcW w:w="1048" w:type="pct"/>
            <w:tcBorders>
              <w:bottom w:val="single" w:sz="24" w:space="0" w:color="auto"/>
              <w:right w:val="single" w:sz="24" w:space="0" w:color="auto"/>
            </w:tcBorders>
          </w:tcPr>
          <w:p w:rsidR="006D1C91" w:rsidRPr="006D1C91" w:rsidRDefault="006D1C91" w:rsidP="006D1C91">
            <w:pPr>
              <w:pStyle w:val="ListParagraph"/>
              <w:numPr>
                <w:ilvl w:val="0"/>
                <w:numId w:val="15"/>
              </w:numPr>
              <w:spacing w:before="0"/>
              <w:ind w:left="196" w:hanging="196"/>
              <w:rPr>
                <w:sz w:val="18"/>
                <w:szCs w:val="18"/>
              </w:rPr>
            </w:pPr>
            <w:r w:rsidRPr="006D1C91">
              <w:rPr>
                <w:sz w:val="18"/>
                <w:szCs w:val="18"/>
              </w:rPr>
              <w:t>Enhanced equity</w:t>
            </w:r>
          </w:p>
        </w:tc>
      </w:tr>
    </w:tbl>
    <w:p w:rsidR="006D1C91" w:rsidRDefault="006D1C91" w:rsidP="006D1C91"/>
    <w:p w:rsidR="006D1C91" w:rsidRDefault="006D1C91" w:rsidP="006D1C91"/>
    <w:p w:rsidR="006D1C91" w:rsidRPr="006D1C91" w:rsidRDefault="006D1C91" w:rsidP="006D1C91"/>
    <w:p w:rsidR="001D4A56" w:rsidRDefault="001D4A56">
      <w:pPr>
        <w:spacing w:before="0" w:after="200" w:line="276" w:lineRule="auto"/>
        <w:rPr>
          <w:rFonts w:eastAsia="Times New Roman" w:cs="Times New Roman"/>
          <w:b/>
          <w:bCs/>
          <w:kern w:val="36"/>
          <w:sz w:val="24"/>
          <w:szCs w:val="24"/>
        </w:rPr>
      </w:pPr>
      <w:r>
        <w:br w:type="page"/>
      </w:r>
    </w:p>
    <w:p w:rsidR="007E1061" w:rsidRDefault="007E1061" w:rsidP="006D1C91">
      <w:pPr>
        <w:pStyle w:val="Heading1"/>
      </w:pPr>
      <w:r>
        <w:lastRenderedPageBreak/>
        <w:t>Visit to USAID</w:t>
      </w:r>
    </w:p>
    <w:p w:rsidR="007E1061" w:rsidRDefault="007E1061" w:rsidP="006D1C91">
      <w:r>
        <w:t xml:space="preserve">On Thursday, the team visited USAID to join a program set up by Jerry Glover. The presentation is at: </w:t>
      </w:r>
      <w:hyperlink r:id="rId16" w:history="1">
        <w:r w:rsidRPr="009613DD">
          <w:rPr>
            <w:rStyle w:val="Hyperlink"/>
          </w:rPr>
          <w:t>http://www.slideshare.net/africa-rising/ssar-usaid-jun2015</w:t>
        </w:r>
      </w:hyperlink>
      <w:r>
        <w:t>. The various USAID staff expressed interest in the Program and raised various issues and questions. Discussion around the new CGIAR CRP portfolio suggested that Africa RISING will need to very clearly articulate 1) its specific ‘systems’ approach (with a focus on livelihoods rather than commodity ‘farming’ systems and 2) set out some numeric targets to achieve through the wider scaling approach of the Program.</w:t>
      </w:r>
    </w:p>
    <w:p w:rsidR="007E1061" w:rsidRDefault="00A272DA" w:rsidP="006D1C91">
      <w:pPr>
        <w:pStyle w:val="Heading1"/>
      </w:pPr>
      <w:r>
        <w:t>Major m</w:t>
      </w:r>
      <w:r w:rsidR="007470CE">
        <w:t>ilestones</w:t>
      </w:r>
    </w:p>
    <w:p w:rsidR="007470CE" w:rsidRDefault="007470CE" w:rsidP="006D1C91">
      <w:pPr>
        <w:pStyle w:val="ListParagraph"/>
        <w:numPr>
          <w:ilvl w:val="0"/>
          <w:numId w:val="4"/>
        </w:numPr>
      </w:pPr>
      <w:r>
        <w:t xml:space="preserve">August 2015: Discussion on farm typologies in </w:t>
      </w:r>
      <w:proofErr w:type="spellStart"/>
      <w:r>
        <w:t>Wageningen</w:t>
      </w:r>
      <w:proofErr w:type="spellEnd"/>
      <w:r w:rsidR="006D1C91">
        <w:t>.</w:t>
      </w:r>
    </w:p>
    <w:p w:rsidR="006D1C91" w:rsidRDefault="006D1C91" w:rsidP="006D1C91">
      <w:pPr>
        <w:pStyle w:val="ListParagraph"/>
        <w:numPr>
          <w:ilvl w:val="0"/>
          <w:numId w:val="4"/>
        </w:numPr>
      </w:pPr>
      <w:r>
        <w:t xml:space="preserve">August 2015 (end): </w:t>
      </w:r>
      <w:proofErr w:type="spellStart"/>
      <w:r>
        <w:t>ToC</w:t>
      </w:r>
      <w:proofErr w:type="spellEnd"/>
      <w:r>
        <w:t xml:space="preserve"> pilot results from Ethiopia.</w:t>
      </w:r>
    </w:p>
    <w:p w:rsidR="007E1061" w:rsidRDefault="007E1061" w:rsidP="006D1C91">
      <w:pPr>
        <w:pStyle w:val="ListParagraph"/>
        <w:numPr>
          <w:ilvl w:val="0"/>
          <w:numId w:val="4"/>
        </w:numPr>
      </w:pPr>
      <w:r>
        <w:t xml:space="preserve">September 2015: Phase 2 design team (PCT plus </w:t>
      </w:r>
      <w:r w:rsidR="007470CE">
        <w:t xml:space="preserve">chief scientists) meet in </w:t>
      </w:r>
      <w:proofErr w:type="spellStart"/>
      <w:r w:rsidR="007470CE">
        <w:t>Wageningen</w:t>
      </w:r>
      <w:proofErr w:type="spellEnd"/>
      <w:r w:rsidR="007470CE">
        <w:t xml:space="preserve"> (looking at key elements of the Program’s systems approach, scaling approach, theory of change, vision of success, hypotheses, and zone of influence ‘targets’)</w:t>
      </w:r>
    </w:p>
    <w:p w:rsidR="007E1061" w:rsidRDefault="007E1061" w:rsidP="006D1C91">
      <w:pPr>
        <w:pStyle w:val="ListParagraph"/>
        <w:numPr>
          <w:ilvl w:val="0"/>
          <w:numId w:val="4"/>
        </w:numPr>
      </w:pPr>
      <w:r>
        <w:t xml:space="preserve">September 2015: </w:t>
      </w:r>
      <w:r w:rsidR="007470CE">
        <w:t xml:space="preserve">External review team visits Ethiopia then </w:t>
      </w:r>
      <w:r w:rsidR="00A272DA">
        <w:t xml:space="preserve">Ghana and </w:t>
      </w:r>
      <w:r w:rsidR="007470CE">
        <w:t>Mali</w:t>
      </w:r>
    </w:p>
    <w:p w:rsidR="007E1061" w:rsidRDefault="007E1061" w:rsidP="006D1C91">
      <w:pPr>
        <w:pStyle w:val="ListParagraph"/>
        <w:numPr>
          <w:ilvl w:val="0"/>
          <w:numId w:val="4"/>
        </w:numPr>
      </w:pPr>
      <w:r>
        <w:t>October 2015: Program strategy workshop</w:t>
      </w:r>
      <w:r w:rsidR="007470CE">
        <w:t xml:space="preserve"> in Mali</w:t>
      </w:r>
    </w:p>
    <w:p w:rsidR="007470CE" w:rsidRDefault="007470CE" w:rsidP="006D1C91">
      <w:pPr>
        <w:pStyle w:val="ListParagraph"/>
        <w:numPr>
          <w:ilvl w:val="0"/>
          <w:numId w:val="4"/>
        </w:numPr>
      </w:pPr>
      <w:r>
        <w:t>November 2015: interim report of External review team</w:t>
      </w:r>
    </w:p>
    <w:p w:rsidR="007470CE" w:rsidRDefault="007470CE" w:rsidP="006D1C91">
      <w:pPr>
        <w:pStyle w:val="ListParagraph"/>
        <w:numPr>
          <w:ilvl w:val="0"/>
          <w:numId w:val="4"/>
        </w:numPr>
      </w:pPr>
      <w:r>
        <w:t>March 2016: External review team visits ESA</w:t>
      </w:r>
    </w:p>
    <w:p w:rsidR="007470CE" w:rsidRDefault="007470CE" w:rsidP="006D1C91">
      <w:pPr>
        <w:pStyle w:val="ListParagraph"/>
        <w:numPr>
          <w:ilvl w:val="0"/>
          <w:numId w:val="4"/>
        </w:numPr>
      </w:pPr>
      <w:r>
        <w:t>March 2016: Science symposium (</w:t>
      </w:r>
      <w:proofErr w:type="spellStart"/>
      <w:r>
        <w:t>tbc</w:t>
      </w:r>
      <w:proofErr w:type="spellEnd"/>
      <w:r>
        <w:t>)</w:t>
      </w:r>
    </w:p>
    <w:p w:rsidR="007470CE" w:rsidRDefault="007470CE" w:rsidP="006D1C91">
      <w:pPr>
        <w:pStyle w:val="ListParagraph"/>
        <w:numPr>
          <w:ilvl w:val="0"/>
          <w:numId w:val="4"/>
        </w:numPr>
      </w:pPr>
      <w:r>
        <w:t>April 2016: External review report expected</w:t>
      </w:r>
    </w:p>
    <w:p w:rsidR="007E1061" w:rsidRDefault="000F1FB6" w:rsidP="000F1FB6">
      <w:pPr>
        <w:pStyle w:val="Heading1"/>
      </w:pPr>
      <w:r>
        <w:t>Participants</w:t>
      </w:r>
    </w:p>
    <w:p w:rsidR="005F7B8E" w:rsidRDefault="000F1FB6" w:rsidP="005F7B8E">
      <w:pPr>
        <w:spacing w:before="0"/>
      </w:pPr>
      <w:r>
        <w:t>Jerry Glover</w:t>
      </w:r>
      <w:r>
        <w:br/>
        <w:t xml:space="preserve">Irmgard </w:t>
      </w:r>
      <w:r>
        <w:rPr>
          <w:rFonts w:ascii="Tahoma" w:hAnsi="Tahoma" w:cs="Tahoma"/>
          <w:sz w:val="20"/>
          <w:szCs w:val="20"/>
        </w:rPr>
        <w:t>Hoeschle-Zeledon</w:t>
      </w:r>
      <w:r>
        <w:br/>
        <w:t>Peter Thorne</w:t>
      </w:r>
      <w:r>
        <w:br/>
        <w:t>Carlo Azzarri</w:t>
      </w:r>
      <w:r>
        <w:br/>
        <w:t>Bernard Vanlauwe</w:t>
      </w:r>
      <w:r>
        <w:br/>
        <w:t>Siboniso Moyo</w:t>
      </w:r>
      <w:r>
        <w:br/>
        <w:t>Asamoah Larbi</w:t>
      </w:r>
      <w:r>
        <w:br/>
        <w:t>Kindu Mekonnen</w:t>
      </w:r>
      <w:r>
        <w:br/>
        <w:t>Salvador Fernandez</w:t>
      </w:r>
      <w:r>
        <w:br/>
        <w:t>Peter Ballantyne</w:t>
      </w:r>
      <w:r>
        <w:br/>
        <w:t>Beliyou Haile</w:t>
      </w:r>
      <w:r>
        <w:br/>
        <w:t>Cleo Roberts</w:t>
      </w:r>
    </w:p>
    <w:p w:rsidR="005F7B8E" w:rsidRPr="000F12C7" w:rsidRDefault="005F7B8E" w:rsidP="005F7B8E">
      <w:pPr>
        <w:spacing w:before="0"/>
      </w:pPr>
      <w:r>
        <w:t>Sara Signorelli</w:t>
      </w:r>
      <w:r>
        <w:br/>
      </w:r>
    </w:p>
    <w:sectPr w:rsidR="005F7B8E" w:rsidRPr="000F12C7" w:rsidSect="001D4A56">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36F2F"/>
    <w:multiLevelType w:val="hybridMultilevel"/>
    <w:tmpl w:val="06E4CD1C"/>
    <w:lvl w:ilvl="0" w:tplc="0409000F">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12550"/>
    <w:multiLevelType w:val="hybridMultilevel"/>
    <w:tmpl w:val="9F2E1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1583A"/>
    <w:multiLevelType w:val="hybridMultilevel"/>
    <w:tmpl w:val="BFA23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5711B"/>
    <w:multiLevelType w:val="hybridMultilevel"/>
    <w:tmpl w:val="A5403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E7273"/>
    <w:multiLevelType w:val="hybridMultilevel"/>
    <w:tmpl w:val="0FF0D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197692"/>
    <w:multiLevelType w:val="hybridMultilevel"/>
    <w:tmpl w:val="1ACE9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F96632"/>
    <w:multiLevelType w:val="hybridMultilevel"/>
    <w:tmpl w:val="D3D2A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544DDA"/>
    <w:multiLevelType w:val="hybridMultilevel"/>
    <w:tmpl w:val="CA36F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FC102D"/>
    <w:multiLevelType w:val="hybridMultilevel"/>
    <w:tmpl w:val="A6AA7B4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1C218EC"/>
    <w:multiLevelType w:val="hybridMultilevel"/>
    <w:tmpl w:val="97C27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3A3260DE"/>
    <w:multiLevelType w:val="hybridMultilevel"/>
    <w:tmpl w:val="E2A09D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4D9D51A4"/>
    <w:multiLevelType w:val="hybridMultilevel"/>
    <w:tmpl w:val="EECC9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AD7A9E"/>
    <w:multiLevelType w:val="hybridMultilevel"/>
    <w:tmpl w:val="8EA02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E91189"/>
    <w:multiLevelType w:val="hybridMultilevel"/>
    <w:tmpl w:val="8F90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D33A22"/>
    <w:multiLevelType w:val="hybridMultilevel"/>
    <w:tmpl w:val="B4AC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1F6298"/>
    <w:multiLevelType w:val="hybridMultilevel"/>
    <w:tmpl w:val="0FB4B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B56375"/>
    <w:multiLevelType w:val="hybridMultilevel"/>
    <w:tmpl w:val="B38C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1"/>
  </w:num>
  <w:num w:numId="5">
    <w:abstractNumId w:val="2"/>
  </w:num>
  <w:num w:numId="6">
    <w:abstractNumId w:val="3"/>
  </w:num>
  <w:num w:numId="7">
    <w:abstractNumId w:val="5"/>
  </w:num>
  <w:num w:numId="8">
    <w:abstractNumId w:val="4"/>
  </w:num>
  <w:num w:numId="9">
    <w:abstractNumId w:val="13"/>
  </w:num>
  <w:num w:numId="10">
    <w:abstractNumId w:val="6"/>
  </w:num>
  <w:num w:numId="11">
    <w:abstractNumId w:val="16"/>
  </w:num>
  <w:num w:numId="12">
    <w:abstractNumId w:val="12"/>
  </w:num>
  <w:num w:numId="13">
    <w:abstractNumId w:val="15"/>
  </w:num>
  <w:num w:numId="14">
    <w:abstractNumId w:val="14"/>
  </w:num>
  <w:num w:numId="15">
    <w:abstractNumId w:val="11"/>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2C7"/>
    <w:rsid w:val="000F12C7"/>
    <w:rsid w:val="000F1FB6"/>
    <w:rsid w:val="001D4A56"/>
    <w:rsid w:val="00282511"/>
    <w:rsid w:val="00341758"/>
    <w:rsid w:val="005F7B8E"/>
    <w:rsid w:val="00622997"/>
    <w:rsid w:val="006D1C91"/>
    <w:rsid w:val="007470CE"/>
    <w:rsid w:val="007E1061"/>
    <w:rsid w:val="00A272DA"/>
    <w:rsid w:val="00B37C0E"/>
    <w:rsid w:val="00C722F3"/>
    <w:rsid w:val="00D9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91"/>
    <w:pPr>
      <w:spacing w:before="240" w:after="0" w:line="240" w:lineRule="auto"/>
    </w:pPr>
  </w:style>
  <w:style w:type="paragraph" w:styleId="Heading1">
    <w:name w:val="heading 1"/>
    <w:basedOn w:val="Normal"/>
    <w:link w:val="Heading1Char"/>
    <w:uiPriority w:val="9"/>
    <w:qFormat/>
    <w:rsid w:val="007E1061"/>
    <w:pPr>
      <w:spacing w:before="100" w:beforeAutospacing="1" w:after="100" w:afterAutospacing="1"/>
      <w:outlineLvl w:val="0"/>
    </w:pPr>
    <w:rPr>
      <w:rFonts w:eastAsia="Times New Roman" w:cs="Times New Roman"/>
      <w:b/>
      <w:bCs/>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12C7"/>
    <w:rPr>
      <w:color w:val="0000FF" w:themeColor="hyperlink"/>
      <w:u w:val="single"/>
    </w:rPr>
  </w:style>
  <w:style w:type="character" w:customStyle="1" w:styleId="Heading1Char">
    <w:name w:val="Heading 1 Char"/>
    <w:basedOn w:val="DefaultParagraphFont"/>
    <w:link w:val="Heading1"/>
    <w:uiPriority w:val="9"/>
    <w:rsid w:val="007E1061"/>
    <w:rPr>
      <w:rFonts w:eastAsia="Times New Roman" w:cs="Times New Roman"/>
      <w:b/>
      <w:bCs/>
      <w:kern w:val="36"/>
      <w:sz w:val="24"/>
      <w:szCs w:val="24"/>
    </w:rPr>
  </w:style>
  <w:style w:type="paragraph" w:styleId="ListParagraph">
    <w:name w:val="List Paragraph"/>
    <w:basedOn w:val="Normal"/>
    <w:uiPriority w:val="34"/>
    <w:qFormat/>
    <w:rsid w:val="000F12C7"/>
    <w:pPr>
      <w:ind w:left="720"/>
      <w:contextualSpacing/>
    </w:pPr>
  </w:style>
  <w:style w:type="table" w:styleId="TableGrid">
    <w:name w:val="Table Grid"/>
    <w:basedOn w:val="TableNormal"/>
    <w:uiPriority w:val="59"/>
    <w:rsid w:val="006D1C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1C9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C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91"/>
    <w:pPr>
      <w:spacing w:before="240" w:after="0" w:line="240" w:lineRule="auto"/>
    </w:pPr>
  </w:style>
  <w:style w:type="paragraph" w:styleId="Heading1">
    <w:name w:val="heading 1"/>
    <w:basedOn w:val="Normal"/>
    <w:link w:val="Heading1Char"/>
    <w:uiPriority w:val="9"/>
    <w:qFormat/>
    <w:rsid w:val="007E1061"/>
    <w:pPr>
      <w:spacing w:before="100" w:beforeAutospacing="1" w:after="100" w:afterAutospacing="1"/>
      <w:outlineLvl w:val="0"/>
    </w:pPr>
    <w:rPr>
      <w:rFonts w:eastAsia="Times New Roman" w:cs="Times New Roman"/>
      <w:b/>
      <w:bCs/>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12C7"/>
    <w:rPr>
      <w:color w:val="0000FF" w:themeColor="hyperlink"/>
      <w:u w:val="single"/>
    </w:rPr>
  </w:style>
  <w:style w:type="character" w:customStyle="1" w:styleId="Heading1Char">
    <w:name w:val="Heading 1 Char"/>
    <w:basedOn w:val="DefaultParagraphFont"/>
    <w:link w:val="Heading1"/>
    <w:uiPriority w:val="9"/>
    <w:rsid w:val="007E1061"/>
    <w:rPr>
      <w:rFonts w:eastAsia="Times New Roman" w:cs="Times New Roman"/>
      <w:b/>
      <w:bCs/>
      <w:kern w:val="36"/>
      <w:sz w:val="24"/>
      <w:szCs w:val="24"/>
    </w:rPr>
  </w:style>
  <w:style w:type="paragraph" w:styleId="ListParagraph">
    <w:name w:val="List Paragraph"/>
    <w:basedOn w:val="Normal"/>
    <w:uiPriority w:val="34"/>
    <w:qFormat/>
    <w:rsid w:val="000F12C7"/>
    <w:pPr>
      <w:ind w:left="720"/>
      <w:contextualSpacing/>
    </w:pPr>
  </w:style>
  <w:style w:type="table" w:styleId="TableGrid">
    <w:name w:val="Table Grid"/>
    <w:basedOn w:val="TableNormal"/>
    <w:uiPriority w:val="59"/>
    <w:rsid w:val="006D1C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1C91"/>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C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030505">
      <w:bodyDiv w:val="1"/>
      <w:marLeft w:val="0"/>
      <w:marRight w:val="0"/>
      <w:marTop w:val="0"/>
      <w:marBottom w:val="0"/>
      <w:divBdr>
        <w:top w:val="none" w:sz="0" w:space="0" w:color="auto"/>
        <w:left w:val="none" w:sz="0" w:space="0" w:color="auto"/>
        <w:bottom w:val="none" w:sz="0" w:space="0" w:color="auto"/>
        <w:right w:val="none" w:sz="0" w:space="0" w:color="auto"/>
      </w:divBdr>
    </w:div>
    <w:div w:id="134424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rica-rising.wikispaces.com/si-framework" TargetMode="External"/><Relationship Id="rId13" Type="http://schemas.openxmlformats.org/officeDocument/2006/relationships/hyperlink" Target="http://africa-rising.wikispaces.com/review2015"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africa-rising.wikispaces.com/retreat2015" TargetMode="External"/><Relationship Id="rId12" Type="http://schemas.openxmlformats.org/officeDocument/2006/relationships/hyperlink" Target="http://africa-rising.wikispaces.com/AR-strategy201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lideshare.net/africa-rising/ssar-usaid-jun2015" TargetMode="External"/><Relationship Id="rId1" Type="http://schemas.openxmlformats.org/officeDocument/2006/relationships/numbering" Target="numbering.xml"/><Relationship Id="rId6" Type="http://schemas.openxmlformats.org/officeDocument/2006/relationships/hyperlink" Target="http://africa-rising.wikispaces.com/retreat2015"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africa-rising.wikispaces.com/review2015" TargetMode="External"/><Relationship Id="rId4" Type="http://schemas.openxmlformats.org/officeDocument/2006/relationships/settings" Target="settings.xml"/><Relationship Id="rId9" Type="http://schemas.openxmlformats.org/officeDocument/2006/relationships/hyperlink" Target="http://africa-rising.wikispaces.com/retreat2015" TargetMode="External"/><Relationship Id="rId14" Type="http://schemas.openxmlformats.org/officeDocument/2006/relationships/hyperlink" Target="http://africa-rising.wikispaces.com/retreat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1281</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Ballantyne, Peter (ILRI)</dc:creator>
  <cp:lastModifiedBy>Ballantyne, Peter (ILRI)</cp:lastModifiedBy>
  <cp:revision>7</cp:revision>
  <dcterms:created xsi:type="dcterms:W3CDTF">2015-06-14T11:13:00Z</dcterms:created>
  <dcterms:modified xsi:type="dcterms:W3CDTF">2015-06-28T09:58:00Z</dcterms:modified>
</cp:coreProperties>
</file>